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BITV 2.0 — Anzuwendende Standards</w:t>
      </w:r>
    </w:p>
    <w:p>
      <w:r>
        <w:rPr>
          <w:color w:val="555555"/>
          <w:sz w:val="18"/>
        </w:rPr>
        <w:t xml:space="preserve">Barrierefreie-Informationstechnik-Verordnung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2 genannten Angebote, Anwendungen und Dienste der Informationstechnik sind barrierefrei zu gestalten. Dies erfordert, dass sie wahrnehmbar, bedienbar, verständlich und robust sind.</w:t>
      </w:r>
    </w:p>
    <w:p>
      <w:r>
        <w:t xml:space="preserve">(2) Die Erfüllung der Anforderungen nach Absatz 1 wird vermutet, wenn diese Angebote, Anwendungen und Dienste</w:t>
      </w:r>
    </w:p>
    <w:p>
      <w:pPr>
        <w:ind w:left="420"/>
      </w:pPr>
      <w:r>
        <w:t xml:space="preserve">1. harmonisierten Normen oder Teilen dieser Normen entsprechen, und</w:t>
      </w:r>
    </w:p>
    <w:p>
      <w:pPr>
        <w:ind w:left="420"/>
      </w:pPr>
      <w:r>
        <w:t xml:space="preserve">2. die harmonisierten Normen oder Teile dieser Normen im Amtsblatt der Europäischen Union genannt worden sind.</w:t>
      </w:r>
    </w:p>
    <w:p>
      <w:r>
        <w:t xml:space="preserve">(3) Soweit Nutzeranforderungen oder Teile von Angeboten, Diensten oder Anwendungen nicht von harmonisierten Normen abgedeckt sind, sind sie nach dem Stand der Technik barrierefrei zu gestalten.</w:t>
      </w:r>
    </w:p>
    <w:p>
      <w:r>
        <w:t xml:space="preserve">(4) Für zentrale Navigations- und Einstiegsangebote sowie Angebote, die eine Nutzerinteraktion ermöglichen, beispielsweise Formulare und die Durchführung von Authentifizierungs-, Identifizierungs- und Zahlungsprozessen, soll ein höchstmögliches Maß an Barrierefreiheit angestrebt werden.</w:t>
      </w:r>
    </w:p>
    <w:p>
      <w:r>
        <w:t xml:space="preserve">(5) Die Überwachungsstelle nach § 13 Absatz 3 des Behindertengleichstellungsgesetzes veröffentlicht auf ihrer Website regelmäßig alle zur Umsetzung dieser Verordnung erforderlichen Informationen in deutscher Sprache, insbesondere</w:t>
      </w:r>
    </w:p>
    <w:p>
      <w:pPr>
        <w:ind w:left="420"/>
      </w:pPr>
      <w:r>
        <w:t xml:space="preserve">1. aktuelle Informationen zu den zu beachtenden Standards, aus denen die Barrierefreiheitsanforderungen detailliert hervorgehen,</w:t>
      </w:r>
    </w:p>
    <w:p>
      <w:pPr>
        <w:ind w:left="420"/>
      </w:pPr>
      <w:r>
        <w:t xml:space="preserve">2. Konformitätstabellen, die einen Überblick zu den wichtigsten Barrierefreiheitsanforderungen geben,</w:t>
      </w:r>
    </w:p>
    <w:p>
      <w:pPr>
        <w:ind w:left="420"/>
      </w:pPr>
      <w:r>
        <w:t xml:space="preserve">3. Empfehlungen des Ausschusses für barrierefreie Informationstechnik nach § 5 sowie</w:t>
      </w:r>
    </w:p>
    <w:p>
      <w:pPr>
        <w:ind w:left="420"/>
      </w:pPr>
      <w:r>
        <w:t xml:space="preserve">4. weiterführende Erläuterungen.</w:t>
      </w:r>
    </w:p>
    <w:p>
      <w:r>
        <w:rPr>
          <w:color w:val="555555"/>
          <w:sz w:val="17"/>
        </w:rPr>
        <w:t xml:space="preserve">Zitiervorschlag: § 3 BITV 2.0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https://recht.nulegal.eu/gesetze/BITV%202.0/3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