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BITV 2.0 — Anwendungsbereich</w:t>
      </w:r>
    </w:p>
    <w:p>
      <w:r>
        <w:rPr>
          <w:color w:val="555555"/>
          <w:sz w:val="18"/>
        </w:rPr>
        <w:t xml:space="preserve">Barrierefreie-Informationstechnik-Verordnung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Verordnung gilt unter Berücksichtigung der Umsetzungsfristen der §§ 12a bis 12c des Behindertengleichstellungsgesetzes für folgende Angebote, Anwendungen und Dienste:</w:t>
      </w:r>
    </w:p>
    <w:p>
      <w:pPr>
        <w:ind w:left="420"/>
      </w:pPr>
      <w:r>
        <w:t xml:space="preserve">1. Websites,</w:t>
      </w:r>
    </w:p>
    <w:p>
      <w:pPr>
        <w:ind w:left="420"/>
      </w:pPr>
      <w:r>
        <w:t xml:space="preserve">2. mobile Anwendungen,</w:t>
      </w:r>
    </w:p>
    <w:p>
      <w:pPr>
        <w:ind w:left="420"/>
      </w:pPr>
      <w:r>
        <w:t xml:space="preserve">3. elektronisch unterstützte Verwaltungsabläufe, einschließlich der Verfahren zur elektronischen Vorgangsbearbeitung und elektronischen Aktenführung,</w:t>
      </w:r>
    </w:p>
    <w:p>
      <w:pPr>
        <w:ind w:left="420"/>
      </w:pPr>
      <w:r>
        <w:t xml:space="preserve">4. grafische Programmoberflächen, die</w:t>
      </w:r>
    </w:p>
    <w:p>
      <w:pPr>
        <w:ind w:left="780"/>
      </w:pPr>
      <w:r>
        <w:t xml:space="preserve">a) in die Angebote, Anwendungen und Dienste nach den Nummern 1 bis 3 integriert sind oder</w:t>
      </w:r>
    </w:p>
    <w:p>
      <w:pPr>
        <w:ind w:left="780"/>
      </w:pPr>
      <w:r>
        <w:t xml:space="preserve">b) von den öffentlichen Stellen zur Nutzung bereitgestellt werden.</w:t>
      </w:r>
    </w:p>
    <w:p>
      <w:r>
        <w:t xml:space="preserve">(2) Von der Anwendung dieser Verordnung ausgenommen sind folgende Inhalte von Websites und mobilen Anwendungen:</w:t>
      </w:r>
    </w:p>
    <w:p>
      <w:pPr>
        <w:ind w:left="420"/>
      </w:pPr>
      <w:r>
        <w:t xml:space="preserve">1. Reproduktionen von Stücken aus Kulturerbesammlungen, die nicht vollständig barrierefrei zugänglich gemacht werden können aufgrund</w:t>
      </w:r>
    </w:p>
    <w:p>
      <w:pPr>
        <w:ind w:left="780"/>
      </w:pPr>
      <w:r>
        <w:t xml:space="preserve">a) der Unvereinbarkeit der Barrierefreiheitsanforderungen mit der Erhaltung des betreffenden Gegenstandes oder der Authentizität der Reproduktion oder</w:t>
      </w:r>
    </w:p>
    <w:p>
      <w:pPr>
        <w:ind w:left="780"/>
      </w:pPr>
      <w:r>
        <w:t xml:space="preserve">b) der Nichtverfügbarkeit automatisierter und kosteneffizienter Lösungen, mit denen die betreffenden Stücke aus Kulturerbesammlungen in barrierefreie Inhalte umgewandelt werden können,</w:t>
      </w:r>
    </w:p>
    <w:p>
      <w:pPr>
        <w:ind w:left="420"/>
      </w:pPr>
      <w:r>
        <w:t xml:space="preserve">2. Archive, die weder Inhalte enthalten, die für aktive Verwaltungsverfahren benötigt werden, noch nach dem 23. September 2019 aktualisiert oder überarbeitet wurden, sowie</w:t>
      </w:r>
    </w:p>
    <w:p>
      <w:pPr>
        <w:ind w:left="420"/>
      </w:pPr>
      <w:r>
        <w:t xml:space="preserve">3. Inhalte von Websites und mobilen Anwendungen von Rundfunkanstalten des Bundesrechts, die der Wahrnehmung eines öffentlichen Sendeauftrags dienen.</w:t>
      </w:r>
    </w:p>
    <w:p>
      <w:r>
        <w:t xml:space="preserve">(3) Für den Erhalt der Einsatzfähigkeit der Streitkräfte kann die Bundesministerin oder der Bundesminister der Verteidigung Ausnahmen von dieser Verordnung festlegen.</w:t>
      </w:r>
    </w:p>
    <w:p>
      <w:r>
        <w:rPr>
          <w:color w:val="555555"/>
          <w:sz w:val="17"/>
        </w:rPr>
        <w:t xml:space="preserve">Zitiervorschlag: § 2 BITV 2.0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https://recht.nulegal.eu/gesetze/BITV%202.0/2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