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BITV 2.0 — Ziele</w:t>
      </w:r>
    </w:p>
    <w:p>
      <w:r>
        <w:rPr>
          <w:color w:val="555555"/>
          <w:sz w:val="18"/>
        </w:rPr>
        <w:t xml:space="preserve">Barrierefreie-Informationstechnik-Verordnung</w:t>
      </w:r>
    </w:p>
    <w:p>
      <w:r>
        <w:rPr>
          <w:color w:val="555555"/>
          <w:sz w:val="18"/>
        </w:rPr>
        <w:t xml:space="preserve">Stand: 10.06.2019 (konsolidierte Textfassung, kein amtliches Inkrafttretensdatum)</w:t>
      </w:r>
    </w:p>
    <w:p>
      <w:r>
        <w:t xml:space="preserve">(1) Die Barrierefreie-Informationstechnik-Verordnung dient dem Ziel, eine umfassend und grundsätzlich uneingeschränkt barrierefreie Gestaltung moderner Informations- und Kommunikationstechnik zu ermöglichen und zu gewährleisten.</w:t>
      </w:r>
    </w:p>
    <w:p>
      <w:r>
        <w:t xml:space="preserve">(2) Informationen und Dienstleistungen öffentlicher Stellen, die elektronisch zur Verfügung gestellt werden, sowie elektronisch unterstützte Verwaltungsabläufe mit und innerhalb der Verwaltung, einschließlich der Verfahren zur elektronischen Aktenführung und zur elektronischen Vorgangsbearbeitung, sind für Menschen mit Behinderungen zugänglich und nutzbar zu gestalten.</w:t>
      </w:r>
    </w:p>
    <w:p>
      <w:r>
        <w:rPr>
          <w:color w:val="555555"/>
          <w:sz w:val="17"/>
        </w:rPr>
        <w:t xml:space="preserve">Zitiervorschlag: § 1 BITV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https://recht.nulegal.eu/gesetze/BITV%202.0/1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