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BHfAbgV</w:t>
      </w:r>
    </w:p>
    <w:p>
      <w:r>
        <w:rPr>
          <w:color w:val="555555"/>
          <w:sz w:val="18"/>
        </w:rPr>
        <w:t xml:space="preserve">Bundes-Seehäfen-Abgabenverordnung</w:t>
      </w:r>
    </w:p>
    <w:p>
      <w:r>
        <w:rPr>
          <w:color w:val="555555"/>
          <w:sz w:val="18"/>
        </w:rPr>
        <w:t xml:space="preserve">Historische Fassung: Stand 04.06.2022 bis 25.06.2023. Dies ist nicht die aktuelle Fassung.</w:t>
      </w:r>
    </w:p>
    <w:p>
      <w:r>
        <w:t xml:space="preserve">Auf Grund des § 13 Abs. 2 Satz 1 in Verbindung mit Satz 3 und 4 des Seeaufgabengesetzes in der Fassung der Bekanntmachung vom 26. Juli 2002 (BGBl. I S. 2876), geändert durch Artikel 319 der Verordnung vom 31. Oktober 2006 (BGBl. I S. 2407), verordnet das Bundesministerium für Verkehr, Bau und Stadtentwicklung im Einvernehmen mit dem Bundesministerium der Finanzen:</w:t>
      </w:r>
    </w:p>
    <w:p>
      <w:r>
        <w:rPr>
          <w:color w:val="555555"/>
          <w:sz w:val="17"/>
        </w:rPr>
        <w:t xml:space="preserve">Zitiervorschlag: Eingangsformel BHfAbgV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https://recht.nulegal.eu/gesetze/BHfAbgV/eingangsformel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