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BHfAbgV — Inkrafttreten, Außerkrafttreten</w:t>
      </w:r>
    </w:p>
    <w:p>
      <w:r>
        <w:rPr>
          <w:color w:val="555555"/>
          <w:sz w:val="18"/>
        </w:rPr>
        <w:t xml:space="preserve">Bundes-Seehäfen-Abgabenverordnung</w:t>
      </w:r>
    </w:p>
    <w:p>
      <w:r>
        <w:rPr>
          <w:color w:val="555555"/>
          <w:sz w:val="18"/>
        </w:rPr>
        <w:t xml:space="preserve">Historische Fassung: Stand 04.06.2022 bis 25.06.2023.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BHfAbgV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https://recht.nulegal.eu/gesetze/BHfAbgV/8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