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BHfAbgV — Pauschalen</w:t>
      </w:r>
    </w:p>
    <w:p>
      <w:r>
        <w:rPr>
          <w:color w:val="555555"/>
          <w:sz w:val="18"/>
        </w:rPr>
        <w:t xml:space="preserve">Bundes-Seehäfen-Abgabenverordnung</w:t>
      </w:r>
    </w:p>
    <w:p>
      <w:r>
        <w:rPr>
          <w:color w:val="555555"/>
          <w:sz w:val="18"/>
        </w:rPr>
        <w:t xml:space="preserve">Historische Fassung: Stand 04.06.2022 bis 25.06.2023. Dies ist nicht die aktuelle Fassung.</w:t>
      </w:r>
    </w:p>
    <w:p>
      <w:r>
        <w:t xml:space="preserve">Auf Antrag kann, außer für Häfen am Nord-Ostsee-Kanal und für Fahrgastschiffe im Hafen Borkum, für ein bestimmtes Wasserfahrzeug eine Pauschale nach der Anlage festgesetzt werden. Wird ein solches Wasserfahrzeug veräußert, geht es verloren oder fällt es wegen Instandsetzung aus, so ist die Pauschale auf Antrag für ein Ersatzfahrzeug desjenigen, dem das erste Wasserfahrzeug gehört oder gehört hat, anzurechnen. In diesem Fall ist die Pauschale nach dem größeren Fahrzeug zu berechnen.</w:t>
      </w:r>
    </w:p>
    <w:p>
      <w:r>
        <w:rPr>
          <w:color w:val="555555"/>
          <w:sz w:val="17"/>
        </w:rPr>
        <w:t xml:space="preserve">Zitiervorschlag: § 6 BHfAbgV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https://recht.nulegal.eu/gesetze/BHfAbgV/6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