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BHfAbgV — Befreiungen und Ermäßigungen</w:t>
      </w:r>
    </w:p>
    <w:p>
      <w:r>
        <w:rPr>
          <w:color w:val="555555"/>
          <w:sz w:val="18"/>
        </w:rPr>
        <w:t xml:space="preserve">Bundes-Seehäfen-Abgabenverordnung</w:t>
      </w:r>
    </w:p>
    <w:p>
      <w:r>
        <w:rPr>
          <w:color w:val="555555"/>
          <w:sz w:val="18"/>
        </w:rPr>
        <w:t xml:space="preserve">Historische Fassung: Stand 04.06.2022 bis 25.06.2023. Dies ist nicht die aktuelle Fassung.</w:t>
      </w:r>
    </w:p>
    <w:p>
      <w:r>
        <w:t xml:space="preserve">(1) Hafengeld wird nicht erhoben</w:t>
      </w:r>
    </w:p>
    <w:p>
      <w:pPr>
        <w:ind w:left="420"/>
      </w:pPr>
      <w:r>
        <w:t xml:space="preserve">1. für Wasserfahrzeuge, schwimmendes Arbeitsgerät und Schwimmkörper des Bundes oder der Länder, die zur Kontrolle oder zur Unterhaltung der Strom-, Kanal- oder Hafenanlagen eingesetzt sind, sowie für Wasserfahrzeuge, schwimmendes Arbeitsgerät und Schwimmkörper privater Unternehmen, die im Auftrag der Wasserstraßen- und Schifffahrtsverwaltung des Bundes Unterhaltungs- und Bauarbeiten durchführen und dem Wasserstraßen- und Schifffahrtsamt darüber eine Bescheinigung des Auftraggebers oder der Auftraggeberin vorlegen,</w:t>
      </w:r>
    </w:p>
    <w:p>
      <w:pPr>
        <w:ind w:left="420"/>
      </w:pPr>
      <w:r>
        <w:t xml:space="preserve">2. für Fahrzeuge der Deutschen Gesellschaft zur Rettung Schiffbrüchiger,</w:t>
      </w:r>
    </w:p>
    <w:p>
      <w:pPr>
        <w:ind w:left="420"/>
      </w:pPr>
      <w:r>
        <w:t xml:space="preserve">3. für Fahrzeuge der Bundeswehr, der Bundespolizei, für Zoll-, Lotsen-, Feuerlösch-, Rettungs- sowie Fischereiaufsichtsfahrzeuge,</w:t>
      </w:r>
    </w:p>
    <w:p>
      <w:pPr>
        <w:ind w:left="420"/>
      </w:pPr>
      <w:r>
        <w:t xml:space="preserve">4. für Beiboote der im Hafen liegenden Wasserfahrzeuge, wenn für sie keine Sonderleistungen in Anspruch genommen werden und sie nicht zur gewerbsmäßigen Personen- oder Güterbeförderung verwendet werden,</w:t>
      </w:r>
    </w:p>
    <w:p>
      <w:pPr>
        <w:ind w:left="420"/>
      </w:pPr>
      <w:r>
        <w:t xml:space="preserve">5. für Fahrzeuge der gewerblichen Schifffahrt in einem Hafen am Nord-Ostsee-Kanal, sofern die Wasser- und Uferfläche ausschließlich zur Übernahme von Treibstoff oder Proviant, zur Abgabe von Slop oder zur Durchführung von Reparaturen benutzt wird und diese Benutzung nicht länger als zwölf Stunden dauert.</w:t>
      </w:r>
    </w:p>
    <w:p>
      <w:r>
        <w:t xml:space="preserve">(2) Für Wasserfahrzeuge, die den Hafen als Nothafen benutzen, ermäßigt sich das Hafengeld auf 50 Prozent, solange die Notlage besteht. Bei einer Liegezeit von weniger als zwölf Stunden ermäßigt sich das Hafengeld für Wasserfahrzeuge nach § 3 Nr. 1 bis 4 und 6 Buchstabe a auf 25 Prozent.</w:t>
      </w:r>
    </w:p>
    <w:p>
      <w:r>
        <w:t xml:space="preserve">(3) Weitere Befreiungen und Ermäßigungen kann die Generaldirektion Wasserstraßen und Schifffahrt im Einzelfall zulassen, wenn das öffentliche Interesse es erfordert.</w:t>
      </w:r>
    </w:p>
    <w:p>
      <w:r>
        <w:rPr>
          <w:color w:val="555555"/>
          <w:sz w:val="17"/>
        </w:rPr>
        <w:t xml:space="preserve">Zitiervorschlag: § 5 BHfAbgV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https://recht.nulegal.eu/gesetze/BHfAbgV/5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