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BHfAbgV — Abgabenerhebung und Fälligkeit</w:t>
      </w:r>
    </w:p>
    <w:p>
      <w:r>
        <w:rPr>
          <w:color w:val="555555"/>
          <w:sz w:val="18"/>
        </w:rPr>
        <w:t xml:space="preserve">Bundes-Seehäfen-Abgabenverordnung</w:t>
      </w:r>
    </w:p>
    <w:p>
      <w:r>
        <w:rPr>
          <w:color w:val="555555"/>
          <w:sz w:val="18"/>
        </w:rPr>
        <w:t xml:space="preserve">Historische Fassung: Stand 04.06.2022 bis 25.06.2023. Dies ist nicht die aktuelle Fassung.</w:t>
      </w:r>
    </w:p>
    <w:p>
      <w:r>
        <w:t xml:space="preserve">Das Hafengeld wird durch das örtlich zuständige Wasserstraßen- und Schifffahrtsamt erhoben. Die Abgabenschuld entsteht mit dem Einlaufen in das abgabenpflichtige Hafengebiet. Es ist auf volle zehn Eurocent aufzurunden und wird mit der Bekanntgabe der Abgabenrechnung an den Abgabenschuldner oder die Abgabenschuldnerin fällig, wenn nicht das Wasserstraßen- und Schifffahrtsamt einen späteren Zeitpunkt bestimmt. Das Hafengeld ist ab dem 15. Tag nach Fälligkeit nach den Vorschriften der §§ 286, 288 und 247 des Bürgerlichen Gesetzbuches zu verzinsen.</w:t>
      </w:r>
    </w:p>
    <w:p>
      <w:r>
        <w:rPr>
          <w:color w:val="555555"/>
          <w:sz w:val="17"/>
        </w:rPr>
        <w:t xml:space="preserve">Zitiervorschlag: § 4 BHfAbgV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https://recht.nulegal.eu/gesetze/BHfAbgV/4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