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BHfAbgV — Berechnungsgrundlagen</w:t>
      </w:r>
    </w:p>
    <w:p>
      <w:r>
        <w:rPr>
          <w:color w:val="555555"/>
          <w:sz w:val="18"/>
        </w:rPr>
        <w:t xml:space="preserve">Bundes-Seehäfen-Abgabenverordnung</w:t>
      </w:r>
    </w:p>
    <w:p>
      <w:r>
        <w:rPr>
          <w:color w:val="555555"/>
          <w:sz w:val="18"/>
        </w:rPr>
        <w:t xml:space="preserve">Historische Fassung: Stand 04.06.2022 bis 25.06.2023. Dies ist nicht die aktuelle Fassung.</w:t>
      </w:r>
    </w:p>
    <w:p>
      <w:r>
        <w:t xml:space="preserve">(1) Grundlage für die Berechnung des Hafengeldes ist bei Wasserfahrzeugen, die Personenbeförderung gegen Entgelt durchführen, die Zahl der zugelassenen Fahrgäste. Bei anderen Wasserfahrzeugen sind als Bemessungseinheit zugrunde zu legen:</w:t>
      </w:r>
    </w:p>
    <w:p>
      <w:pPr>
        <w:ind w:left="420"/>
      </w:pPr>
      <w:r>
        <w:t xml:space="preserve">1. bei Seeschiffen die Bruttoraumzahl nach dem Internationalen Schiffsmessbrief (1969) nach der Anlage II des Internationalen Schiffsvermessungs-Übereinkommens von 1969 (BGBl. 1975 II S. 65);</w:t>
      </w:r>
    </w:p>
    <w:p>
      <w:pPr>
        <w:ind w:left="420"/>
      </w:pPr>
      <w:r>
        <w:t xml:space="preserve">2. bei Binnenschiffen die Hälfte der im Eichschein ausgewiesenen Tragfähigkeit in Tonnen;</w:t>
      </w:r>
    </w:p>
    <w:p>
      <w:pPr>
        <w:ind w:left="420"/>
      </w:pPr>
      <w:r>
        <w:t xml:space="preserve">3. bei Marinefahrzeugen, für die keine Schiffsmessbriefe ausgestellt sind, die Wasserverdrängung in Kubikmetern;</w:t>
      </w:r>
    </w:p>
    <w:p>
      <w:pPr>
        <w:ind w:left="420"/>
      </w:pPr>
      <w:r>
        <w:t xml:space="preserve">4. bei anderen Fahrzeugen, Geräten oder sonstigen Schwimmkörpern, die nicht vermessen oder nicht geeicht sind, das nach der Formel Länge zwischen den Loten x Breite x Tiefgang berechnete Volumen in Kubikmetern;</w:t>
      </w:r>
    </w:p>
    <w:p>
      <w:pPr>
        <w:ind w:left="420"/>
      </w:pPr>
      <w:r>
        <w:t xml:space="preserve">5. bei Schlepp- und Schubverbänden die Summe der nach den Nummern 1 bis 4 ermittelten Bemessungseinheiten oder Tonnen aller Fahrzeuge;</w:t>
      </w:r>
    </w:p>
    <w:p>
      <w:pPr>
        <w:ind w:left="420"/>
      </w:pPr>
      <w:r>
        <w:t xml:space="preserve">6. die Länge in Metern über alles</w:t>
      </w:r>
    </w:p>
    <w:p>
      <w:pPr>
        <w:ind w:left="780"/>
      </w:pPr>
      <w:r>
        <w:t xml:space="preserve">a) bei Fischereifahrzeugen,</w:t>
      </w:r>
    </w:p>
    <w:p>
      <w:pPr>
        <w:ind w:left="780"/>
      </w:pPr>
      <w:r>
        <w:t xml:space="preserve">b) bei Sportbooten, Vergnügungsfahrzeugen wie Kähnen, Jollen und sonstigen kleinen Wasserfahrzeugen, für die kein Schiffsmessbrief oder Eichschein ausgestellt ist.</w:t>
      </w:r>
    </w:p>
    <w:p>
      <w:r>
        <w:t xml:space="preserve">(2) Angefangene Bemessungseinheiten sind auf volle Einheiten aufzurunden.</w:t>
      </w:r>
    </w:p>
    <w:p>
      <w:r>
        <w:rPr>
          <w:color w:val="555555"/>
          <w:sz w:val="17"/>
        </w:rPr>
        <w:t xml:space="preserve">Zitiervorschlag: § 3 BHfAbgV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https://recht.nulegal.eu/gesetze/BHfAbgV/3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