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BHfAbgV — Abgaben</w:t>
      </w:r>
    </w:p>
    <w:p>
      <w:r>
        <w:rPr>
          <w:color w:val="555555"/>
          <w:sz w:val="18"/>
        </w:rPr>
        <w:t xml:space="preserve">Bundes-Seehäfen-Abgabenverordnung</w:t>
      </w:r>
    </w:p>
    <w:p>
      <w:r>
        <w:rPr>
          <w:color w:val="555555"/>
          <w:sz w:val="18"/>
        </w:rPr>
        <w:t xml:space="preserve">Historische Fassung: Stand 04.06.2022 bis 25.06.2023. Dies ist nicht die aktuelle Fassung.</w:t>
      </w:r>
    </w:p>
    <w:p>
      <w:r>
        <w:t xml:space="preserve">(1) Für die Benutzung des Hafens ist ein Hafengeld nach der Anlage zu entrichten.</w:t>
      </w:r>
    </w:p>
    <w:p>
      <w:r>
        <w:t xml:space="preserve">(2) Wird der Hafen ausnahmsweise zum Umschlag oder zur Lagerung in Anspruch genommen, so bleibt die Entrichtung eines privatrechtlichen Entgeltes unberührt.</w:t>
      </w:r>
    </w:p>
    <w:p>
      <w:r>
        <w:rPr>
          <w:color w:val="555555"/>
          <w:sz w:val="17"/>
        </w:rPr>
        <w:t xml:space="preserve">Zitiervorschlag: § 2 BHfAbgV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https://recht.nulegal.eu/gesetze/BHfAbgV/2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