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BHfAbgV — Anwendungsbereich</w:t>
      </w:r>
    </w:p>
    <w:p>
      <w:r>
        <w:rPr>
          <w:color w:val="555555"/>
          <w:sz w:val="18"/>
        </w:rPr>
        <w:t xml:space="preserve">Bundes-Seehäfen-Abgabenverordnung</w:t>
      </w:r>
    </w:p>
    <w:p>
      <w:r>
        <w:rPr>
          <w:color w:val="555555"/>
          <w:sz w:val="18"/>
        </w:rPr>
        <w:t xml:space="preserve">Historische Fassung: Stand 04.06.2022 bis 25.06.2023. Dies ist nicht die aktuelle Fassung.</w:t>
      </w:r>
    </w:p>
    <w:p>
      <w:r>
        <w:t xml:space="preserve">(1) Diese Verordnung gilt für die bundeseigenen Schutz- und Sicherheitshäfen Borkum, Helgoland, Seezeichenhafen Wittdün, Kiel-Holtenau und Brunsbüttel.</w:t>
      </w:r>
    </w:p>
    <w:p>
      <w:r>
        <w:t xml:space="preserve">(2) Die abgabenpflichtigen Gebiete umfassen</w:t>
      </w:r>
    </w:p>
    <w:p>
      <w:pPr>
        <w:ind w:left="420"/>
      </w:pPr>
      <w:r>
        <w:t xml:space="preserve">1. auf Helgoland, im Seezeichenhafen Wittdün, in Kiel-Holtenau und Brunsbüttel die Hafenbecken und die dazugehörigen Anlagen in den Grenzen der Schutz- und Sicherheitshafenverordnung vom 28. August 1987 (BAnz. S. 13 013, 13 541), zuletzt geändert durch die Verordnung vom 18. Februar 2008 (BAnz. S. 1055), sowie</w:t>
      </w:r>
    </w:p>
    <w:p>
      <w:pPr>
        <w:ind w:left="420"/>
      </w:pPr>
      <w:r>
        <w:t xml:space="preserve">2. das Hafenbecken und die dazugehörigen Anlagen im Schutz-, Sicherheits- und Bauhafen Borkum in den Grenzen der Hafenordnung Borkum vom 7. März 1991 (BAnz. S. 2713).</w:t>
      </w:r>
    </w:p>
    <w:p>
      <w:r>
        <w:rPr>
          <w:color w:val="555555"/>
          <w:sz w:val="17"/>
        </w:rPr>
        <w:t xml:space="preserve">Zitiervorschlag: § 1 BHfAbgV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https://recht.nulegal.eu/gesetze/BHfAbgV/1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