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BHV1V — Ansteckungsverdacht</w:t>
      </w:r>
    </w:p>
    <w:p>
      <w:r>
        <w:rPr>
          <w:color w:val="555555"/>
          <w:sz w:val="18"/>
        </w:rPr>
        <w:t xml:space="preserve">BHV1-Verordnung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in einem Gehöft oder an einem sonstigen Standort der Ausbruch der BHV1-Infektion amtlich festgestellt, so stellt die zuständige Behörde epidemiologische Nachforschungen an und unterstellt alle Rinder der Gehöfte oder sonstigen Standorte,</w:t>
      </w:r>
    </w:p>
    <w:p>
      <w:pPr>
        <w:ind w:left="420"/>
      </w:pPr>
      <w:r>
        <w:t xml:space="preserve">1. von denen die Seuche eingeschleppt oder</w:t>
      </w:r>
    </w:p>
    <w:p>
      <w:pPr>
        <w:ind w:left="420"/>
      </w:pPr>
      <w:r>
        <w:t xml:space="preserve">2. in die die Seuche bereits weiterverschleppt</w:t>
      </w:r>
    </w:p>
    <w:p>
      <w:r>
        <w:t xml:space="preserve">worden sein kann, für die Dauer von 30 Tagen der behördlichen Beobachtung. Die zuständige Behörde kann die Entnahme von Blutproben zur Untersuchung auf eine BHV1-Infektion sowie für diesen Bestand die Impfung anordnen.</w:t>
      </w:r>
    </w:p>
    <w:p>
      <w:r>
        <w:t xml:space="preserve">(2) Die zuständige Behörde kann im Falle des Verdachts des Ausbruchs der BHV1-Infektion Maßnahmen nach Absatz 1 anordnen.</w:t>
      </w:r>
    </w:p>
    <w:p>
      <w:r>
        <w:t xml:space="preserve">(3) Die zuständige Behörde kann ferner in nach Artikel 10 der Richtlinie 64/432/EWG in der jeweils geltenden Fassung als BHV1-frei anerkannten Gebieten die Tötung ansteckungsverdächtiger Rinder anordnen, soweit dies aus Gründen der Tierseuchenbekämpfung erforderlich ist.</w:t>
      </w:r>
    </w:p>
    <w:p>
      <w:r>
        <w:rPr>
          <w:color w:val="555555"/>
          <w:sz w:val="17"/>
        </w:rPr>
        <w:t xml:space="preserve">Zitiervorschlag: § 9 BHV1V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https://recht.nulegal.eu/gesetze/BHV1V/9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