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BHV1V — Untersuchungen</w:t>
      </w:r>
    </w:p>
    <w:p>
      <w:r>
        <w:rPr>
          <w:color w:val="555555"/>
          <w:sz w:val="18"/>
        </w:rPr>
        <w:t xml:space="preserve">BHV1-Verordnung</w:t>
      </w:r>
    </w:p>
    <w:p>
      <w:r>
        <w:rPr>
          <w:color w:val="555555"/>
          <w:sz w:val="18"/>
        </w:rPr>
        <w:t xml:space="preserve">Stand: 10.06.2019 (konsolidierte Textfassung, kein amtliches Inkrafttretensdatum)</w:t>
      </w:r>
    </w:p>
    <w:p>
      <w:r>
        <w:t xml:space="preserve">(1) Der Tierhalter hat, soweit sein Bestand nicht bereits ein BHV1-freier Rinderbestand im Sinne des § 1 Absatz 2 Nummer 1 ist, alle über neun Monate alten Zucht- und Nutzrinder oder, sofern der Bestand zu mindestens 30 vom Hundert aus Kühen besteht, alle über neun Monate alten weiblichen Rinder sowie die zur Zucht vorgesehenen männlichen Rinder im Abstand von längstens zwölf Monaten nach näherer Anweisung der zuständigen Behörde in einer von ihr bestimmten Untersuchungseinrichtung,</w:t>
      </w:r>
    </w:p>
    <w:p>
      <w:pPr>
        <w:ind w:left="420"/>
      </w:pPr>
      <w:r>
        <w:t xml:space="preserve">1. sofern die Rinder des Bestandes nicht gegen eine BHV1-Infektion geimpft worden sind, blut- oder milchserologisch auf Antikörper gegen das Virus der BHV1-Infektion,</w:t>
      </w:r>
    </w:p>
    <w:p>
      <w:pPr>
        <w:ind w:left="420"/>
      </w:pPr>
      <w:r>
        <w:t xml:space="preserve">2. sofern die Rinder des Bestandes mit Impfstoffen im Sinne des § 2 Absatz 1 geimpft worden sind, blutserologisch auf Antikörper gegen das gE-Glykoprotein des Virus der BHV1-Infektion</w:t>
      </w:r>
    </w:p>
    <w:p>
      <w:r>
        <w:t xml:space="preserve">untersuchen zu lassen. Satz 1 gilt nicht für Reagenten. Die zuständige Behörde kann im Falle der Untersuchung männlicher Rinder nach Satz 1 zulassen, dass diese im Rahmen der Schlachtung auf eine BHV1-Infektion untersucht werden. Ferner kann die zuständige Behörde für Bestände, in denen alle Rinder ausschließlich in Stallhaltung gemästet und unmittelbar zur Schlachtung abgegeben werden, Ausnahmen von Satz 1 zulassen, wenn unter Berücksichtigung des seuchenhygienischen Risikos des Bestandes und der Seuchensituation ihres Zuständigkeitsgebietes Belange der Seuchenbekämpfung nicht entgegenstehen und die Rinder des Bestandes regelmäßig entsprechend den Empfehlungen des Impfstoffherstellers geimpft werden. Bei Rindern in Beständen, in denen alle Rinder ausschließlich in Stallhaltung gemästet und zur Schlachtung abgegeben werden, kann der Tierhalter auf die regelmäßige Nachimpfung verzichten, sofern die Rinder mindestens grundimmunisiert und erneut im Abstand von drei bis sechs Monaten geimpft worden sind.</w:t>
      </w:r>
    </w:p>
    <w:p>
      <w:r>
        <w:t xml:space="preserve">(2) Die zuständige Behörde kann, soweit es aus Gründen der Tierseuchenbekämpfung erforderlich ist, die Untersuchung</w:t>
      </w:r>
    </w:p>
    <w:p>
      <w:pPr>
        <w:ind w:left="420"/>
      </w:pPr>
      <w:r>
        <w:t xml:space="preserve">1. einzelner oder aller Rinder eines Bestandes oder ihres Zuständigkeitsgebietes, einschließlich der Entnahme von Blut- oder Milchproben,</w:t>
      </w:r>
    </w:p>
    <w:p>
      <w:pPr>
        <w:ind w:left="420"/>
      </w:pPr>
      <w:r>
        <w:t xml:space="preserve">2. nicht gegen die BHV1-Infektion geimpfter Rinder auf Antikörper gegen das gE-Glykoprotein des Virus der BHV1-Infektion</w:t>
      </w:r>
    </w:p>
    <w:p>
      <w:r>
        <w:t xml:space="preserve">anordnen.</w:t>
      </w:r>
    </w:p>
    <w:p>
      <w:r>
        <w:t xml:space="preserve">(3) Der Tierhalter hat auf Verlangen der zuständigen Behörde schriftlich oder in elektronischer Form Auskunft über die Anzahl, die Art sowie den Zeitpunkt der nach Absatz 1 durchgeführten Untersuchungen sowie das Ergebnis dieser Untersuchungen zu erteilen.</w:t>
      </w:r>
    </w:p>
    <w:p>
      <w:r>
        <w:rPr>
          <w:color w:val="555555"/>
          <w:sz w:val="17"/>
        </w:rPr>
        <w:t xml:space="preserve">Zitiervorschlag: § 2a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