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BHO — Angelegenheiten von besonderer Bedeutung</w:t>
      </w:r>
    </w:p>
    <w:p>
      <w:r>
        <w:rPr>
          <w:color w:val="555555"/>
          <w:sz w:val="18"/>
        </w:rPr>
        <w:t xml:space="preserve">Bundeshaushaltsordnung</w:t>
      </w:r>
    </w:p>
    <w:p>
      <w:r>
        <w:rPr>
          <w:color w:val="555555"/>
          <w:sz w:val="18"/>
        </w:rPr>
        <w:t xml:space="preserve">Stand: 10.06.2019 (konsolidierte Textfassung, kein amtliches Inkrafttretensdatum)</w:t>
      </w:r>
    </w:p>
    <w:p>
      <w:r>
        <w:t xml:space="preserve">Über Angelegenheiten von besonderer Bedeutung kann der Bundesrechnungshof den Bundestag, den Bundesrat und die Bundesregierung jederzeit unterrichten. Berichtet er dem Bundestag und dem Bundesrat, so unterrichtet er gleichzeitig die Bundesregierung. Der Bundesrechnungshof veröffentlicht seine Berichte zu Angelegenheiten von besonderer Bedeutung unverzüglich nach Zuleitung im Internet.</w:t>
      </w:r>
    </w:p>
    <w:p>
      <w:r>
        <w:rPr>
          <w:color w:val="555555"/>
          <w:sz w:val="17"/>
        </w:rPr>
        <w:t xml:space="preserve">Zitiervorschlag: § 99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