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 BHO — Auskunftspflicht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Unterlagen, die der Bundesrechnungshof zur Erfüllung seiner Aufgaben für erforderlich hält, sind ihm auf Verlangen innerhalb einer bestimmten Frist zu übersenden oder seinen Beauftragten vorzulegen.</w:t>
      </w:r>
    </w:p>
    <w:p>
      <w:r>
        <w:t xml:space="preserve">(2) Dem Bundesrechnungshof und seinen Beauftragten sind die erbetenen Auskünfte zu erteilen.</w:t>
      </w:r>
    </w:p>
    <w:p>
      <w:r>
        <w:t xml:space="preserve">(3) Die Vorlage- und Auskunftspflicht nach den Absätzen 1 und 2 umfasst auch elektronisch gespeicherte Daten sowie deren automatisierten Abruf.</w:t>
      </w:r>
    </w:p>
    <w:p>
      <w:r>
        <w:rPr>
          <w:color w:val="555555"/>
          <w:sz w:val="17"/>
        </w:rPr>
        <w:t xml:space="preserve">Zitiervorschlag: § 95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