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BHO — Rechnungslegung der Bundesbetriebe</w:t>
      </w:r>
    </w:p>
    <w:p>
      <w:r>
        <w:rPr>
          <w:color w:val="555555"/>
          <w:sz w:val="18"/>
        </w:rPr>
        <w:t xml:space="preserve">Bundeshaushaltsordnung</w:t>
      </w:r>
    </w:p>
    <w:p>
      <w:r>
        <w:rPr>
          <w:color w:val="555555"/>
          <w:sz w:val="18"/>
        </w:rPr>
        <w:t xml:space="preserve">Stand: 10.06.2019 (konsolidierte Textfassung, kein amtliches Inkrafttretensdatum)</w:t>
      </w:r>
    </w:p>
    <w:p>
      <w:r>
        <w:t xml:space="preserve">(1) Bundesbetriebe, die nach den Regeln der kaufmännischen doppelten Buchführung buchen, stellen einen Jahresabschluß sowie einen Lagebericht in entsprechender Anwendung der Vorschrift des § 264 Abs. 1 Satz 1 des Handelsgesetzbuchs auf. Das zuständige Bundesministerium kann im Einvernehmen mit dem Bundesministerium der Finanzen auf die Aufstellung des Lageberichts verzichten. Die §§ 80 bis 85 sollen angewandt werden, soweit sie mit den Regeln der kaufmännischen doppelten Buchführung zu vereinbaren sind.</w:t>
      </w:r>
    </w:p>
    <w:p>
      <w:r>
        <w:t xml:space="preserve">(2) Ist eine Betriebsbuchführung eingerichtet, so ist die Betriebsergebnisabrechnung dem Bundesministerium der Finanzen und dem Bundesrechnungshof zu übersenden.</w:t>
      </w:r>
    </w:p>
    <w:p>
      <w:r>
        <w:rPr>
          <w:color w:val="555555"/>
          <w:sz w:val="17"/>
        </w:rPr>
        <w:t xml:space="preserve">Zitiervorschlag: § 87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