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BHO — Buchung nach Haushaltsjahren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Zahlungen, eingegangene Verpflichtungen, Geldforderungen sowie andere Bewirtschaftungsvorgänge, für die nach § 71 Abs. 1 Satz 3 die Buchführung angeordnet ist, sind nach Haushaltsjahren getrennt zu buchen.</w:t>
      </w:r>
    </w:p>
    <w:p>
      <w:r>
        <w:t xml:space="preserve">(2) Alle Zahlungen mit Ausnahme der Fälle nach den Absätzen 3 und 4 sind für das Haushaltsjahr zu buchen, in dem sie eingegangen oder geleistet worden sind.</w:t>
      </w:r>
    </w:p>
    <w:p>
      <w:r>
        <w:t xml:space="preserve">(3) Zahlungen, die im abgelaufenen Haushaltsjahr fällig waren, jedoch erst später eingehen oder geleistet werden, sind in den Büchern des abgelaufenen Haushaltsjahres zu buchen, solange die Bücher nicht abgeschlossen sind.</w:t>
      </w:r>
    </w:p>
    <w:p>
      <w:r>
        <w:t xml:space="preserve">(4) Für das neue Haushaltsjahr sind zu buchen:</w:t>
      </w:r>
    </w:p>
    <w:p>
      <w:pPr>
        <w:ind w:left="420"/>
      </w:pPr>
      <w:r>
        <w:t xml:space="preserve">1. Einnahmen, die im neuen Haushaltsjahr fällig werden, jedoch vorher eingehen;</w:t>
      </w:r>
    </w:p>
    <w:p>
      <w:pPr>
        <w:ind w:left="420"/>
      </w:pPr>
      <w:r>
        <w:t xml:space="preserve">2. Ausgaben, die im neuen Haushaltsjahr fällig werden, jedoch wegen des fristgerechten Eingangs beim Empfänger vorher gezahlt werden müssen;</w:t>
      </w:r>
    </w:p>
    <w:p>
      <w:pPr>
        <w:ind w:left="420"/>
      </w:pPr>
      <w:r>
        <w:t xml:space="preserve">3. im voraus zu zahlende Dienst-, Versorgungs- und entsprechende Bezüge sowie Renten für den ersten Monat des neuen Haushaltsjahres.</w:t>
      </w:r>
    </w:p>
    <w:p>
      <w:r>
        <w:t xml:space="preserve">(5) Die Absätze 3 und 4 Nr. 1 gelten nicht für Steuern, Gebühren, andere Abgaben, Geldstrafen, Geldbußen sowie damit zusammenhängende Kosten.</w:t>
      </w:r>
    </w:p>
    <w:p>
      <w:r>
        <w:t xml:space="preserve">(6) Ausnahmen von den Absätzen 2 bis 4 können im Haushaltsplan zugelassen werden.</w:t>
      </w:r>
    </w:p>
    <w:p>
      <w:r>
        <w:rPr>
          <w:color w:val="555555"/>
          <w:sz w:val="17"/>
        </w:rPr>
        <w:t xml:space="preserve">Zitiervorschlag: § 72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