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BHO — Grundstücke</w:t>
      </w:r>
    </w:p>
    <w:p>
      <w:r>
        <w:rPr>
          <w:color w:val="555555"/>
          <w:sz w:val="18"/>
        </w:rPr>
        <w:t xml:space="preserve">Bundeshaushaltsordnung</w:t>
      </w:r>
    </w:p>
    <w:p>
      <w:r>
        <w:rPr>
          <w:color w:val="555555"/>
          <w:sz w:val="18"/>
        </w:rPr>
        <w:t xml:space="preserve">Stand: 10.06.2019 (konsolidierte Textfassung, kein amtliches Inkrafttretensdatum)</w:t>
      </w:r>
    </w:p>
    <w:p>
      <w:r>
        <w:t xml:space="preserve">(1) Bundeseigene Grundstücke dürfen nur mit Einwilligung des Bundesministeriums der Finanzen und des für das Bundesvermögen zuständigen Bundesministeriums veräußert werden; die Bundesministerien können auf ihre Mitwirkung verzichten.</w:t>
      </w:r>
    </w:p>
    <w:p>
      <w:r>
        <w:t xml:space="preserve">(2) Haben Grundstücke erheblichen Wert oder besondere Bedeutung und ist ihre Veräußerung im Haushaltsplan nicht vorgesehen, so dürfen sie nur mit Einwilligung des Bundestages und des Bundesrates veräußert werden, soweit nicht aus zwingenden Gründen eine Ausnahme hiervon geboten ist. Ist die Zustimmung nicht eingeholt worden, so sind der Bundestag und der Bundesrat alsbald von der Veräußerung zu unterrichten.</w:t>
      </w:r>
    </w:p>
    <w:p>
      <w:r>
        <w:t xml:space="preserve">(3) Für zu erwerbende oder zu veräußernde Grundstücke ist eine Wertermittlung aufzustellen.</w:t>
      </w:r>
    </w:p>
    <w:p>
      <w:r>
        <w:t xml:space="preserve">(4) Dingliche Rechte dürfen an bundeseigenen Grundstücken nur gegen angemessenes Entgelt bestellt werden. Die Bestellung bedarf der Einwilligung des Bundesministeriums der Finanzen und des für das Bundesvermögen zuständigen Bundesministeriums; die Bundesministerien können auf ihre Mitwirkung verzichten.</w:t>
      </w:r>
    </w:p>
    <w:p>
      <w:r>
        <w:t xml:space="preserve">(5) Beim Erwerb von Grundstücken können Hypotheken, Grund- und Rentenschulden unter Anrechnung auf den Kaufpreis ohne die Voraussetzungen des § 38 Abs. 1 übernommen werden.</w:t>
      </w:r>
    </w:p>
    <w:p>
      <w:r>
        <w:rPr>
          <w:color w:val="555555"/>
          <w:sz w:val="17"/>
        </w:rPr>
        <w:t xml:space="preserve">Zitiervorschlag: § 64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