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BHO — Erwerb und Veräußerung von Vermögensgegenständen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Vermögensgegenstände sollen nur erworben werden, soweit sie zur Erfüllung der Aufgaben des Bundes in absehbarer Zeit erforderlich sind.</w:t>
      </w:r>
    </w:p>
    <w:p>
      <w:r>
        <w:t xml:space="preserve">(2) Vermögensgegenstände dürfen nur veräußert werden, wenn sie zur Erfüllung der Aufgaben des Bundes in absehbarer Zeit nicht benötigt werden. Unbewegliche Vermögensgegenstände, die zur Erfüllung der Aufgaben des Bundes weiterhin benötigt werden, dürfen zur langfristigen Eigennutzung veräußert werden, wenn auf diese Weise die Aufgaben des Bundes nachweislich wirtschaftlicher erfüllt werden können.</w:t>
      </w:r>
    </w:p>
    <w:p>
      <w:r>
        <w:t xml:space="preserve">(3) Vermögensgegenstände dürfen nur zu ihrem vollen Wert veräußert werden. Ausnahmen können im Haushaltsplan zugelassen werden. Ist der Wert gering oder besteht ein dringendes Bundesinteresse, so kann das Bundesministerium der Finanzen Ausnahmen zulassen.</w:t>
      </w:r>
    </w:p>
    <w:p>
      <w:r>
        <w:t xml:space="preserve">(4) Für die Überlassung der Nutzung eines Vermögensgegenstandes gelten die Absätze 2 und 3 entsprechend.</w:t>
      </w:r>
    </w:p>
    <w:p>
      <w:r>
        <w:rPr>
          <w:color w:val="555555"/>
          <w:sz w:val="17"/>
        </w:rPr>
        <w:t xml:space="preserve">Zitiervorschlag: § 63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