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BHO — Interne Verrechnungen</w:t>
      </w:r>
    </w:p>
    <w:p>
      <w:r>
        <w:rPr>
          <w:color w:val="555555"/>
          <w:sz w:val="18"/>
        </w:rPr>
        <w:t xml:space="preserve">Bundeshaushaltsordnung</w:t>
      </w:r>
    </w:p>
    <w:p>
      <w:r>
        <w:rPr>
          <w:color w:val="555555"/>
          <w:sz w:val="18"/>
        </w:rPr>
        <w:t xml:space="preserve">Stand: 10.06.2019 (konsolidierte Textfassung, kein amtliches Inkrafttretensdatum)</w:t>
      </w:r>
    </w:p>
    <w:p>
      <w:r>
        <w:t xml:space="preserve">(1) Innerhalb der Bundesverwaltung dürfen Vermögensgegenstände für andere Zwecke als die, für die sie beschafft wurden, nur gegen Erstattung ihres vollen Wertes abgegeben werden, soweit sich aus dem Haushaltsplan nichts anderes ergibt. Aufwendungen einer Dienststelle für eine andere sind zu erstatten; andere Regelungen in Rechtsvorschriften bleiben unberührt. Ein Schadenausgleich zwischen Dienststellen unterbleibt.</w:t>
      </w:r>
    </w:p>
    <w:p>
      <w:r>
        <w:t xml:space="preserve">(2) Absatz 1 gilt nicht, wenn der Wert der abzugebenden Vermögensgegenstände oder die zu erstattenden Aufwendungen einen bestimmten, vom Bundesministerium der Finanzen festzusetzenden Betrag nicht überschreiten oder das Bundesministerium der Finanzen weitere Ausnahmen zuläßt.</w:t>
      </w:r>
    </w:p>
    <w:p>
      <w:r>
        <w:t xml:space="preserve">(3) Der Wert der abgegebenen Vermögensgegenstände und die Aufwendungen sind stets zu erstatten, wenn Bundesbetriebe oder Sondervermögen des Bundes beteiligt sind. Entsprechendes gilt für den Ausgleich von Schäden. Im Wege der Verwaltungsvereinbarung können andere Regelungen getroffen werden, soweit sie aus Gründen der Verwaltungsvereinfachung dringend geboten sind.</w:t>
      </w:r>
    </w:p>
    <w:p>
      <w:r>
        <w:t xml:space="preserve">(4) Für die Nutzung von Vermögensgegenständen gelten die Absätze 1 bis 3 entsprechend.</w:t>
      </w:r>
    </w:p>
    <w:p>
      <w:r>
        <w:rPr>
          <w:color w:val="555555"/>
          <w:sz w:val="17"/>
        </w:rPr>
        <w:t xml:space="preserve">Zitiervorschlag: § 61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