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BHO — Haushaltswirtschaftliche Sperre</w:t>
      </w:r>
    </w:p>
    <w:p>
      <w:r>
        <w:rPr>
          <w:color w:val="555555"/>
          <w:sz w:val="18"/>
        </w:rPr>
        <w:t xml:space="preserve">Bundeshaushaltsordnung</w:t>
      </w:r>
    </w:p>
    <w:p>
      <w:r>
        <w:rPr>
          <w:color w:val="555555"/>
          <w:sz w:val="18"/>
        </w:rPr>
        <w:t xml:space="preserve">Stand: 10.06.2019 (konsolidierte Textfassung, kein amtliches Inkrafttretensdatum)</w:t>
      </w:r>
    </w:p>
    <w:p>
      <w:r>
        <w:t xml:space="preserve">Wenn die Entwicklung der Einnahmen oder Ausgaben es erfordert, kann das Bundesministerium der Finanzen nach Benehmen mit dem zuständigen Bundesministerium es von seiner Einwilligung abhängig machen, ob Verpflichtungen eingegangen oder Ausgaben geleistet werden.</w:t>
      </w:r>
    </w:p>
    <w:p>
      <w:r>
        <w:rPr>
          <w:color w:val="555555"/>
          <w:sz w:val="17"/>
        </w:rPr>
        <w:t xml:space="preserve">Zitiervorschlag: § 41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