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BHO — Gewährleistungen, Kreditzusagen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Übernahme von Bürgschaften, Garantien oder sonstigen Gewährleistungen, die zu Ausgaben in künftigen Haushaltsjahren führen können, bedarf einer Ermächtigung durch Bundesgesetz, die der Höhe nach bestimmt ist.</w:t>
      </w:r>
    </w:p>
    <w:p>
      <w:r>
        <w:t xml:space="preserve">(2) Kreditzusagen sowie die Übernahme von Bürgschaften, Garantien oder sonstigen Gewährleistungen bedürfen der Einwilligung des Bundesministeriums der Finanzen. Es ist an den Verhandlungen zu beteiligen. Es kann auf seine Befugnisse verzichten.</w:t>
      </w:r>
    </w:p>
    <w:p>
      <w:r>
        <w:t xml:space="preserve">(3) Bei Maßnahmen nach Absatz 2 haben die zuständigen Dienststellen auszubedingen, daß sie oder ihre Beauftragten bei den Beteiligten jederzeit prüfen können,</w:t>
      </w:r>
    </w:p>
    <w:p>
      <w:pPr>
        <w:ind w:left="420"/>
      </w:pPr>
      <w:r>
        <w:t xml:space="preserve">1. ob die Voraussetzungen für die Kreditzusage oder ihre Erfüllung vorliegen oder vorgelegen haben,</w:t>
      </w:r>
    </w:p>
    <w:p>
      <w:pPr>
        <w:ind w:left="420"/>
      </w:pPr>
      <w:r>
        <w:t xml:space="preserve">2. ob im Falle der Übernahme einer Gewährleistung eine Inanspruchnahme des Bundes in Betracht kommen kann oder die Voraussetzungen für eine solche vorliegen oder vorgelegen haben.</w:t>
      </w:r>
    </w:p>
    <w:p>
      <w:r>
        <w:t xml:space="preserve">Von der Ausbedingung eines Prüfungsrechts kann ausnahmsweise mit Einwilligung des Bundesministeriums der Finanzen abgesehen werden.</w:t>
      </w:r>
    </w:p>
    <w:p>
      <w:r>
        <w:rPr>
          <w:color w:val="555555"/>
          <w:sz w:val="17"/>
        </w:rPr>
        <w:t xml:space="preserve">Zitiervorschlag: § 39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