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BHO — Aufhebung der Sperre</w:t>
      </w:r>
    </w:p>
    <w:p>
      <w:r>
        <w:rPr>
          <w:color w:val="555555"/>
          <w:sz w:val="18"/>
        </w:rPr>
        <w:t xml:space="preserve">Bundeshaushaltsordnung</w:t>
      </w:r>
    </w:p>
    <w:p>
      <w:r>
        <w:rPr>
          <w:color w:val="555555"/>
          <w:sz w:val="18"/>
        </w:rPr>
        <w:t xml:space="preserve">Stand: 10.06.2019 (konsolidierte Textfassung, kein amtliches Inkrafttretensdatum)</w:t>
      </w:r>
    </w:p>
    <w:p>
      <w:r>
        <w:t xml:space="preserve">Nur mit vorheriger Zustimmung (Einwilligung) des Bundesministeriums der Finanzen dürfen Ausgaben, die durch Gesetz oder im Haushaltsplan als gesperrt bezeichnet sind, geleistet sowie Verpflichtungen zur Leistung solcher Ausgaben eingegangen werden. In den Fällen des § 22 Satz 3 hat das Bundesministerium der Finanzen die Einwilligung des Bundestages einzuholen.</w:t>
      </w:r>
    </w:p>
    <w:p>
      <w:r>
        <w:rPr>
          <w:color w:val="555555"/>
          <w:sz w:val="17"/>
        </w:rPr>
        <w:t xml:space="preserve">Zitiervorschlag: § 36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