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BHO — Finanzbericht</w:t>
      </w:r>
    </w:p>
    <w:p>
      <w:r>
        <w:rPr>
          <w:color w:val="555555"/>
          <w:sz w:val="18"/>
        </w:rPr>
        <w:t xml:space="preserve">Bundeshaushaltsordnung</w:t>
      </w:r>
    </w:p>
    <w:p>
      <w:r>
        <w:rPr>
          <w:color w:val="555555"/>
          <w:sz w:val="18"/>
        </w:rPr>
        <w:t xml:space="preserve">Stand: 10.06.2019 (konsolidierte Textfassung, kein amtliches Inkrafttretensdatum)</w:t>
      </w:r>
    </w:p>
    <w:p>
      <w:r>
        <w:t xml:space="preserve">Zum Entwurf des Haushaltsgesetzes und des Haushaltsplans hat das Bundesministerium der Finanzen einen Bericht über den Stand und die voraussichtliche Entwicklung der Finanzwirtschaft auch im Zusammenhang mit der gesamtwirtschaftlichen Entwicklung zu erstatten.</w:t>
      </w:r>
    </w:p>
    <w:p>
      <w:r>
        <w:rPr>
          <w:color w:val="555555"/>
          <w:sz w:val="17"/>
        </w:rPr>
        <w:t xml:space="preserve">Zitiervorschlag: § 31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