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BHO — Vorlagefrist</w:t>
      </w:r>
    </w:p>
    <w:p>
      <w:r>
        <w:rPr>
          <w:color w:val="555555"/>
          <w:sz w:val="18"/>
        </w:rPr>
        <w:t xml:space="preserve">Bundeshaushaltsordnung</w:t>
      </w:r>
    </w:p>
    <w:p>
      <w:r>
        <w:rPr>
          <w:color w:val="555555"/>
          <w:sz w:val="18"/>
        </w:rPr>
        <w:t xml:space="preserve">Stand: 10.06.2019 (konsolidierte Textfassung, kein amtliches Inkrafttretensdatum)</w:t>
      </w:r>
    </w:p>
    <w:p>
      <w:r>
        <w:t xml:space="preserve">Der Entwurf des Haushaltsgesetzes ist mit dem Entwurf des Haushaltsplans vor Beginn des Haushaltsjahres dem Bundesrat zuzuleiten und beim Bundestag einzubringen, in der Regel spätestens in der ersten Sitzungswoche des Bundestages nach dem 1. September.</w:t>
      </w:r>
    </w:p>
    <w:p>
      <w:r>
        <w:rPr>
          <w:color w:val="555555"/>
          <w:sz w:val="17"/>
        </w:rPr>
        <w:t xml:space="preserve">Zitiervorschlag: § 30 BHO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https://recht.nulegal.eu/gesetze/BHO/30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