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BHO — Beschluß über den Entwurf des Haushaltsplans</w:t>
      </w:r>
    </w:p>
    <w:p>
      <w:r>
        <w:rPr>
          <w:color w:val="555555"/>
          <w:sz w:val="18"/>
        </w:rPr>
        <w:t xml:space="preserve">Bundeshaushaltsordnung</w:t>
      </w:r>
    </w:p>
    <w:p>
      <w:r>
        <w:rPr>
          <w:color w:val="555555"/>
          <w:sz w:val="18"/>
        </w:rPr>
        <w:t xml:space="preserve">Stand: 10.06.2019 (konsolidierte Textfassung, kein amtliches Inkrafttretensdatum)</w:t>
      </w:r>
    </w:p>
    <w:p>
      <w:r>
        <w:t xml:space="preserve">(1) Der Entwurf des Haushaltsgesetzes wird mit dem Entwurf des Haushaltsplans von der Bundesregierung beschlossen.</w:t>
      </w:r>
    </w:p>
    <w:p>
      <w:r>
        <w:t xml:space="preserve">(2) Einnahmen, Ausgaben, Verpflichtungsermächtigungen und Vermerke, die das Bundesministerium der Finanzen in den Entwurf des Haushaltsplans nicht aufgenommen hat, unterliegen auf Antrag des zuständigen Bundesministers der Beschlußfassung der Bundesregierung, wenn es sich um Angelegenheiten von grundsätzlicher oder erheblicher finanzieller Bedeutung handelt. Dasselbe gilt für Vorschriften des Entwurfs des Haushaltsgesetzes. Auf die Beschlußfassung der Bundesregierung ist § 28 Abs. 2 Satz 2 entsprechend anzuwenden. Das Nähere regelt die Geschäftsordnung der Bundesregierung.</w:t>
      </w:r>
    </w:p>
    <w:p>
      <w:r>
        <w:t xml:space="preserve">(3) Weicht der Entwurf des Haushaltsplans von den Voranschlägen der Bundespräsidentin oder des Bundespräsidenten, des Deutschen Bundestages, des Bundesrates, des Bundesverfassungsgerichts, des Bundesrechnungshofes oder der oder des Bundesbeauftragten für den Datenschutz und die Informationsfreiheit ab und ist der Änderung nicht zugestimmt worden, so sind die Teile, über die kein Einvernehmen erzielt worden ist, unverändert dem Entwurf des Haushaltsplans beizufügen.</w:t>
      </w:r>
    </w:p>
    <w:p>
      <w:r>
        <w:rPr>
          <w:color w:val="555555"/>
          <w:sz w:val="17"/>
        </w:rPr>
        <w:t xml:space="preserve">Zitiervorschlag: § 29 BHO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https://recht.nulegal.eu/gesetze/BHO/29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