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BHO — Übertragbarkeit</w:t>
      </w:r>
    </w:p>
    <w:p>
      <w:r>
        <w:rPr>
          <w:color w:val="555555"/>
          <w:sz w:val="18"/>
        </w:rPr>
        <w:t xml:space="preserve">Bundeshaushaltsordnung</w:t>
      </w:r>
    </w:p>
    <w:p>
      <w:r>
        <w:rPr>
          <w:color w:val="555555"/>
          <w:sz w:val="18"/>
        </w:rPr>
        <w:t xml:space="preserve">Stand: 10.06.2019 (konsolidierte Textfassung, kein amtliches Inkrafttretensdatum)</w:t>
      </w:r>
    </w:p>
    <w:p>
      <w:r>
        <w:t xml:space="preserve">(1) Ausgaben für Investitionen und Ausgaben aus zweckgebundenen Einnahmen sind übertragbar. Andere Ausgaben können im Haushaltsplan für übertragbar erklärt werden, wenn dies ihre wirtschaftliche und sparsame Verwendung fördert.</w:t>
      </w:r>
    </w:p>
    <w:p>
      <w:r>
        <w:t xml:space="preserve">(2) Zur Deckung der Ausgaben, die übertragen werden sollen (Ausgabereste), sind Ausgabemittel zu veranschlagen. Die Ausgabemittel sollen so bemessen werden, daß sie zur Deckung der Ausgabereste ausreichen, deren Verausgabung im nächsten Haushaltsjahr erforderlich ist; nicht zu berücksichtigen sind Ausgabereste, für die Mittel aus kassenmäßigen Minderausgaben im nächsten Haushaltsjahr voraussichtlich bereitgestellt werden können.</w:t>
      </w:r>
    </w:p>
    <w:p>
      <w:r>
        <w:rPr>
          <w:color w:val="555555"/>
          <w:sz w:val="17"/>
        </w:rPr>
        <w:t xml:space="preserve">Zitiervorschlag: § 19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