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BHO — Kreditermächtigungen</w:t>
      </w:r>
    </w:p>
    <w:p>
      <w:r>
        <w:rPr>
          <w:color w:val="555555"/>
          <w:sz w:val="18"/>
        </w:rPr>
        <w:t xml:space="preserve">Bundeshaushaltsordnung</w:t>
      </w:r>
    </w:p>
    <w:p>
      <w:r>
        <w:rPr>
          <w:color w:val="555555"/>
          <w:sz w:val="18"/>
        </w:rPr>
        <w:t xml:space="preserve">Stand: 03.10.2025 (konsolidierte Textfassung, kein amtliches Inkrafttretensdatum)</w:t>
      </w:r>
    </w:p>
    <w:p>
      <w:r>
        <w:t xml:space="preserve">(1) Einnahmen aus Krediten zur Deckung von Ausgaben dürfen bis zur Höhe der nach dem Artikel 115-Gesetz zulässigen Kreditaufnahme in den Haushaltsplan eingestellt werden. Die Kreditaufnahme, die in den Haushaltsplan eingestellt werden darf, erhöht sich um den Betrag, um den die im Haushaltsplan veranschlagten Ausgaben der Bereichsausnahme nach § 1a Absatz 1 des Artikel 115-Gesetzes 1 Prozent im Verhältnis zum nominalen Bruttoinlandsprodukt übersteigen. Maßgeblich ist dasjenige nominale Bruttoinlandsprodukt des der Aufstellung des Haushalts vorangegangenen Jahres, das durch das Statistische Bundesamt ermittelt wird.</w:t>
      </w:r>
    </w:p>
    <w:p>
      <w:r>
        <w:t xml:space="preserve">(2) Das Haushaltsgesetz bestimmt, bis zu welcher Höhe das Bundesministerium der Finanzen Kredite aufnehmen darf</w:t>
      </w:r>
    </w:p>
    <w:p>
      <w:pPr>
        <w:ind w:left="420"/>
      </w:pPr>
      <w:r>
        <w:t xml:space="preserve">1. zur Deckung von Ausgaben,</w:t>
      </w:r>
    </w:p>
    <w:p>
      <w:pPr>
        <w:ind w:left="420"/>
      </w:pPr>
      <w:r>
        <w:t xml:space="preserve">2. zur Aufrechterhaltung einer ordnungsmäßigen Kassenwirtschaft (Kassenverstärkungskredite). Soweit diese Kredite zurückgezahlt sind, kann die Ermächtigung wiederholt in Anspruch genommen werden. Kassenverstärkungskredite dürfen nicht später als sechs Monate nach Ablauf des Haushaltsjahres, für das sie aufgenommen worden sind, fällig werden.</w:t>
      </w:r>
    </w:p>
    <w:p>
      <w:r>
        <w:t xml:space="preserve">(3) Die Ermächtigungen nach Absatz 2 Nr. 1 gelten bis zum Ende des nächsten Haushaltsjahres und, wenn das Haushaltsgesetz für das zweitnächste Haushaltsjahr nicht rechtzeitig verkündet wird, bis zur Verkündung dieses Haushaltsgesetzes. Die Ermächtigungen nach Absatz 2 Nr. 2 gelten bis zum Ende des laufenden Haushaltsjahres und, wenn das Haushaltsgesetz für das nächste Haushaltsjahr nicht rechtzeitig verkündet wird, bis zur Verkündung dieses Haushaltsgesetzes.</w:t>
      </w:r>
    </w:p>
    <w:p>
      <w:r>
        <w:t xml:space="preserve">(4) Die Ermächtigungen nach Absatz 2 Nummer 1 umfassen unbeschadet der Höhe der Einnahmen aus Krediten die Verpflichtung zur endfälligen Tilgung der durch den Verkauf von Bundeswertpapieren aufgenommenen Kredite in Höhe der Nennwerte. Das Haushaltsgesetz konkretisiert die Art der Anrechnung auf die Kreditermächtigung entsprechend § 11 Absatz 3.</w:t>
      </w:r>
    </w:p>
    <w:p>
      <w:r>
        <w:t xml:space="preserve">(5) Ist bis zum Schluss eines Rechnungsjahres der Haushaltsplan für das folgende Jahr nicht durch Gesetz festgestellt, so umfasst die Kreditermächtigung nach Artikel 111 Absatz 2 des Grundgesetzes sowie die Ermächtigung nach Absatz 3 Satz 1 auch das Recht, die Verpflichtung zur endfälligen Tilgung in Höhe des Nennwerts einzugehen. Die Höhe des maximal zulässigen Verpflichtungsvolumens ist identisch mit der Höhe dieser Kreditermächtigungen.</w:t>
      </w:r>
    </w:p>
    <w:p>
      <w:r>
        <w:rPr>
          <w:color w:val="555555"/>
          <w:sz w:val="17"/>
        </w:rPr>
        <w:t xml:space="preserve">Zitiervorschlag: § 18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