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119 BHO — Inkrafttreten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1. Januar 1970 in Kraft.</w:t>
      </w:r>
    </w:p>
    <w:p>
      <w:r>
        <w:t xml:space="preserve">(2) ... Ferner treten diejenigen Vorschriften anderer Gesetze außer Kraft, die mit den Bestimmungen dieses Gesetzes nicht vereinbar sind.</w:t>
      </w:r>
    </w:p>
    <w:p>
      <w:r>
        <w:t xml:space="preserve">(3) Soweit in anderen Gesetzen auf die nach Absatz 2 aufgehobenen Bestimmungen Bezug genommen wird, treten an ihre Stelle die Vorschriften dieses Gesetzes.</w:t>
      </w:r>
    </w:p>
    <w:p>
      <w:r>
        <w:t xml:space="preserve">(4)</w:t>
      </w:r>
    </w:p>
    <w:p>
      <w:r>
        <w:t xml:space="preserve">(5)</w:t>
      </w:r>
    </w:p>
    <w:p>
      <w:r>
        <w:rPr>
          <w:color w:val="555555"/>
          <w:sz w:val="17"/>
        </w:rPr>
        <w:t xml:space="preserve">Zitiervorschlag: § 119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https://recht.nulegal.eu/gesetze/BHO/119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