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BHO — Endgültige Entscheidung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Das Bundesministerium der Finanzen entscheidet in den Fällen des § 37 Abs. 1 endgültig. Soweit dieses Gesetz in anderen Fällen Befugnisse des Bundesministeriums der Finanzen enthält, kann der zuständige Bundesminister über die Maßnahme des Bundesministeriums der Finanzen die Entscheidung der Bundesregierung einholen; die Bundesregierung entscheidet anstelle des Bundesministeriums der Finanzen endgültig. Entscheidet die Bundesregierung gegen oder ohne die Stimme des Bundesministers der Finanzen, so steht ihm ein Widerspruchsrecht zu. Das Nähere regelt die Geschäftsordnung der Bundesregierung.</w:t>
      </w:r>
    </w:p>
    <w:p>
      <w:r>
        <w:t xml:space="preserve">(2) Der Einwilligung des Bundesministeriums der Finanzen bedarf es ausnahmsweise nicht, wenn sofortiges Handeln zur Abwendung einer dem Bund drohenden unmittelbar bevorstehenden Gefahr erforderlich ist, das durch die Notlage gebotene Maß nicht überschritten wird und die Einwilligung nicht rechtzeitig eingeholt werden kann. Zu den getroffenen Maßnahmen ist die Genehmigung des Bundesministeriums der Finanzen unverzüglich einzuholen.</w:t>
      </w:r>
    </w:p>
    <w:p>
      <w:r>
        <w:rPr>
          <w:color w:val="555555"/>
          <w:sz w:val="17"/>
        </w:rPr>
        <w:t xml:space="preserve">Zitiervorschlag: § 116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