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BHO — Sonderregelungen</w:t>
      </w:r>
    </w:p>
    <w:p>
      <w:r>
        <w:rPr>
          <w:color w:val="555555"/>
          <w:sz w:val="18"/>
        </w:rPr>
        <w:t xml:space="preserve">Bundeshaushaltsordnung</w:t>
      </w:r>
    </w:p>
    <w:p>
      <w:r>
        <w:rPr>
          <w:color w:val="555555"/>
          <w:sz w:val="18"/>
        </w:rPr>
        <w:t xml:space="preserve">Stand: 10.01.2020 (konsolidierte Textfassung, kein amtliches Inkrafttretensdatum)</w:t>
      </w:r>
    </w:p>
    <w:p>
      <w:r>
        <w:t xml:space="preserve">(1) Auf die bundesunmittelbaren Träger der gesetzlichen Krankenversicherung, der sozialen Pflegeversicherung, der gesetzlichen Unfallversicherung und der gesetzlichen Rentenversicherung einschließlich der Alterssicherung der Landwirte sind nur die §§ 17a und 111 anzuwenden, und zwar nur dann, wenn sie auf Grund eines Bundesgesetzes vom Bund Zuschüsse erhalten oder eine Garantieverpflichtung des Bundes gesetzlich begründet ist. Auf die Verbände und Arbeitsgemeinschaften der in Satz 1 genannten Sozialversicherungsträger ist unabhängig von ihrer Rechtsform § 111 anzuwenden, wenn Mitglieder dieser Verbände und Arbeitsgemeinschaften der Prüfung durch den Bundesrechnungshof unterliegen. Auf sonstige Vereinigungen auf dem Gebiet der Sozialversicherung finden die Vorschriften dieses Gesetzes keine Anwendung.</w:t>
      </w:r>
    </w:p>
    <w:p>
      <w:r>
        <w:t xml:space="preserve">(2) Auf Unternehmen in der Rechtsform einer bundesunmittelbaren juristischen Person des öffentlichen Rechts sind unabhängig von der Höhe der Beteiligung des Bundes § 65 Abs. 1 Nr. 3 und 4 und Abs. 2, 3 und 4, § 68 Abs. 1 und § 69 entsprechend, § 111 unmittelbar anzuwenden. Für Unternehmen in der Rechtsform einer juristischen Person des privaten Rechts, an denen die in Satz 1 genannten Unternehmen unmittelbar oder mittelbar mit Mehrheit beteiligt sind, gelten die §§ 53 und 54 des Haushaltsgrundsätzegesetzes und die §§ 65 bis 69 entsprechend.</w:t>
      </w:r>
    </w:p>
    <w:p>
      <w:r>
        <w:rPr>
          <w:color w:val="555555"/>
          <w:sz w:val="17"/>
        </w:rPr>
        <w:t xml:space="preserve">Zitiervorschlag: § 112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