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BGySO (Sachsen) — Übergangsregelung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Schülerinnen und Schüler, die vor dem 1. August 2024 ein Berufliches Gymnasium besucht haben, gilt vorbehaltlich des Satzes 2 die Schulordnung Berufliche Gymnasien in der Fassung der Bekanntmachung vom 10. November 1998 (SächsGVBl. S. 16, 130), die zuletzt durch Artikel 1 der Verordnung vom 23. April 2021 (SächsGVBl. S. 509) geändert worden ist, bis zum Abschluss ihrer Ausbildung fort. Satz 1 findet keine Anwendung auf Schülerinnen und Schüler, die im Schuljahr 2024/2025 die Klassenstufe 11 wiederholen.</w:t>
      </w:r>
    </w:p>
    <w:p>
      <w:r>
        <w:t xml:space="preserve">(2) Absatz 1 Satz 1 gilt entsprechend für Schulfremde gemäß § 59 Absatz 1, die in den Schuljahren 2024/2025 und 2025/2026 an der Schulfremdenprüfung teilnehmen.</w:t>
      </w:r>
    </w:p>
    <w:p>
      <w:r>
        <w:rPr>
          <w:color w:val="555555"/>
          <w:sz w:val="17"/>
        </w:rPr>
        <w:t xml:space="preserve">Zitiervorschlag: § 77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