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BGySO (Sachsen) — Duale Berufsausbildung und Zuerkennung der allgemeinen Hochschulreife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von Teil 1 und Teil 2 mit Ausnahme von Abschnitt 5 finden Anwendung, sofern in diesem Teil nichts anderes geregelt ist.</w:t>
      </w:r>
    </w:p>
    <w:p>
      <w:r>
        <w:t xml:space="preserve">(2) Im doppelqualifizierenden Bildungsgang wird neben der schulischen Ausbildung am Beruflichen Gymnasium auf der Grundlage eines Berufsausbildungsvertrages in einem anerkannten Ausbildungsberuf ausgebildet. § 2 Absatz 4 bleibt unberührt.</w:t>
      </w:r>
    </w:p>
    <w:p>
      <w:r>
        <w:t xml:space="preserve">(3) Doppelqualifizierende Bildungsgänge können eingerichtet werden in den Fachrichtungen</w:t>
      </w:r>
    </w:p>
    <w:p>
      <w:r>
        <w:t xml:space="preserve">1. Informations- und Kommunikationstechnologie,</w:t>
      </w:r>
    </w:p>
    <w:p>
      <w:r>
        <w:t xml:space="preserve">2. Technikwissenschaft und</w:t>
      </w:r>
    </w:p>
    <w:p>
      <w:r>
        <w:t xml:space="preserve">3. Wirtschaftswissenschaft.</w:t>
      </w:r>
    </w:p>
    <w:p>
      <w:r>
        <w:t xml:space="preserve">(4) Die diesen Fachrichtungen jeweils zugewiesenen Ausbildungsberufe richten sich nach Anlage 4.</w:t>
      </w:r>
    </w:p>
    <w:p>
      <w:r>
        <w:rPr>
          <w:color w:val="555555"/>
          <w:sz w:val="17"/>
        </w:rPr>
        <w:t xml:space="preserve">Zitiervorschlag: § 68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