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BGySO (Sachsen) — Prüfungsfächer in der Schulfremdenprüfung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dem fachrichtungsbestimmenden Fach des jeweiligen Beruflichen Gymnasiums und in den Fächern Mathematik und Deutsch, in den zwei Fremdsprachen, in Geschichte/Gemeinschaftskunde und in einer Naturwissenschaft ist eine Prüfung jeweils verpflichtend.</w:t>
      </w:r>
    </w:p>
    <w:p>
      <w:r>
        <w:t xml:space="preserve">(2) Die schriftliche Prüfung umfasst:</w:t>
      </w:r>
    </w:p>
    <w:p>
      <w:r>
        <w:t xml:space="preserve">1. Deutsch, Englisch oder Mathematik als erstes Leistungskursfach,</w:t>
      </w:r>
    </w:p>
    <w:p>
      <w:r>
        <w:t xml:space="preserve">2. das Fach des zweiten Leistungskurses gemäß § 38 Absatz 1 Satz 3,</w:t>
      </w:r>
    </w:p>
    <w:p>
      <w:r>
        <w:t xml:space="preserve">3. in Abhängigkeit von der Wahl des ersten Leistungskursfaches Deutsch oder Mathematik als drittes Prüfungsfach und</w:t>
      </w:r>
    </w:p>
    <w:p>
      <w:r>
        <w:t xml:space="preserve">4. Physik.</w:t>
      </w:r>
    </w:p>
    <w:p>
      <w:r>
        <w:t xml:space="preserve">(3) Die mündliche Prüfung erfolgt in vier Fächern, die nicht bereits Gegenstand der schriftlichen Prüfung waren. Die Teilnahme an der mündlichen Prüfung setzt voraus, dass der schriftliche Abiturprüfungsteil nach § 62 Absatz 3 bestanden wurde. Die Fächer Sport, Evangelische Religion, Katholische Religion und Ethik können nicht mündliches Prüfungsfach sein.</w:t>
      </w:r>
    </w:p>
    <w:p>
      <w:r>
        <w:rPr>
          <w:color w:val="555555"/>
          <w:sz w:val="17"/>
        </w:rPr>
        <w:t xml:space="preserve">Zitiervorschlag: § 61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https://recht.nulegal.eu/gesetze/BGySO/61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