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BGySO (Sachsen) — Allgemeines</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allgemeine Hochschulreife erwerben will, ohne Schülerin oder Schüler eines öffentlichen oder staatlich anerkannten Beruflichen Gymnasiums gewesen zu sein, kann die Abiturprüfung am Beruflichen Gymnasium außerordentlich als Schulfremde oder Schulfremder ablegen.</w:t>
      </w:r>
    </w:p>
    <w:p>
      <w:r>
        <w:t xml:space="preserve">(2) Für die Abiturprüfung für Schulfremde (Schulfremdenprüfung) gelten § 27 Absatz 1 und 3, § 35 sowie Teil 2 Abschnitt 4 mit Ausnahme des § 52. § 48 findet mit der Maßgabe Anwendung, dass an die Stelle der Prüfungsfächer P1 bis P5 die Prüfungsfächer gemäß § 61 Absatz 2 und 3 treten.</w:t>
      </w:r>
    </w:p>
    <w:p>
      <w:r>
        <w:t xml:space="preserve">(3) Die Schulfremdenprüfung gliedert sich in einen schriftlichen und einen mündlichen Prüfungsteil. Sie kann nicht früher abgelegt werden, als dies bei Besuch eines öffentlichen Beruflichen Gymnasiums möglich wäre.</w:t>
      </w:r>
    </w:p>
    <w:p>
      <w:r>
        <w:rPr>
          <w:color w:val="555555"/>
          <w:sz w:val="17"/>
        </w:rPr>
        <w:t xml:space="preserve">Zitiervorschlag: § 59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https://recht.nulegal.eu/gesetze/BGySO/59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