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BGySO (Sachsen) — Kursangebot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Angebot an Leistungs- und Grundkursen richtet sich nach den zur Verfügung stehenden personellen und sächlichen Voraussetzungen an der Schule.</w:t>
      </w:r>
    </w:p>
    <w:p>
      <w:r>
        <w:t xml:space="preserve">(2) Das Kursangebot des Pflicht- und Wahlbereichs der jeweiligen Fachrichtung sowie die Anzahl der Wochenstunden für die einzelnen Fächer ergeben sich aus der jeweiligen Stundentafel.</w:t>
      </w:r>
    </w:p>
    <w:p>
      <w:r>
        <w:t xml:space="preserve">(3) Nicht verbindlich zu belegende Fächer des Pflichtbereichs können als Wahlfächer belegt werden.</w:t>
      </w:r>
    </w:p>
    <w:p>
      <w:r>
        <w:rPr>
          <w:color w:val="555555"/>
          <w:sz w:val="17"/>
        </w:rPr>
        <w:t xml:space="preserve">Zitiervorschlag: § 37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