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32 BGySO (Sachsen) — Versetzungsentscheidung</w:t>
      </w:r>
    </w:p>
    <w:p>
      <w:r>
        <w:rPr>
          <w:color w:val="555555"/>
          <w:sz w:val="18"/>
        </w:rPr>
        <w:t xml:space="preserve">Schulordnung Berufliche Gymnasien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Entscheidung über die Versetzung von Klassenstufe 11 in die Jahrgangsstufe 12 trifft die Klassenkonferenz.</w:t>
      </w:r>
    </w:p>
    <w:p>
      <w:r>
        <w:t xml:space="preserve">(2) Im Jahreszeugnis ist die Entscheidung über die Versetzung oder die Nichtversetzung auszuweisen.</w:t>
      </w:r>
    </w:p>
    <w:p>
      <w:r>
        <w:rPr>
          <w:color w:val="555555"/>
          <w:sz w:val="17"/>
        </w:rPr>
        <w:t xml:space="preserve">Zitiervorschlag: § 32 BGySO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https://recht.nulegal.eu/gesetze/BGySO/32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