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BGySO (Sachsen) — Mündliche und fachpraktische Leistungen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Mündliche Leistungen der Schülerin oder des Schülers werden über das Schuljahr verteilt erbracht. Sie sind zu bewerten und die jeweilige Bewertung ist zu dokumentieren.</w:t>
      </w:r>
    </w:p>
    <w:p>
      <w:r>
        <w:t xml:space="preserve">(2) Fachpraktische Leistungsnachweise sind insbesondere in den fachrichtungsbestimmenden Fächern, in den Fächern Kunst und Musik sowie im Zusammenhang mit Experimenten im naturwissenschaftlichen Unterricht zu erbringen.</w:t>
      </w:r>
    </w:p>
    <w:p>
      <w:r>
        <w:rPr>
          <w:color w:val="555555"/>
          <w:sz w:val="17"/>
        </w:rPr>
        <w:t xml:space="preserve">Zitiervorschlag: § 20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