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BGySO (Sachsen) — Verweildauer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Verweildauer am Beruflichen Gymnasium beträgt drei Jahre. Sie kann überschritten werden</w:t>
      </w:r>
    </w:p>
    <w:p>
      <w:r>
        <w:t xml:space="preserve">1. bei Wiederholung der Klassenstufe 11 gemäß § 33 Absatz 1,</w:t>
      </w:r>
    </w:p>
    <w:p>
      <w:r>
        <w:t xml:space="preserve">2. bei Wiederholung der Jahrgangsstufe 12, der Jahrgangsstufe 13 oder der Kurshalbjahre 12/II und 13/I gemäß § 57 Absatz 1, 2 und 4 sowie</w:t>
      </w:r>
    </w:p>
    <w:p>
      <w:r>
        <w:t xml:space="preserve">3. auf Antrag in besonderen Härtefällen mit Genehmigung der Schulaufsichtsbehörde.</w:t>
      </w:r>
    </w:p>
    <w:p>
      <w:r>
        <w:rPr>
          <w:color w:val="555555"/>
          <w:sz w:val="17"/>
        </w:rPr>
        <w:t xml:space="preserve">Zitiervorschlag: § 10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