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BGremBG 2015 — Begriffsbestimmungen</w:t>
      </w:r>
    </w:p>
    <w:p>
      <w:r>
        <w:rPr>
          <w:color w:val="555555"/>
          <w:sz w:val="18"/>
        </w:rPr>
        <w:t xml:space="preserve">Bundesgremienbesetzungsgesetz</w:t>
      </w:r>
    </w:p>
    <w:p>
      <w:r>
        <w:rPr>
          <w:color w:val="555555"/>
          <w:sz w:val="18"/>
        </w:rPr>
        <w:t xml:space="preserve">Stand: 12.08.2021 (konsolidierte Textfassung, kein amtliches Inkrafttretensdatum)</w:t>
      </w:r>
    </w:p>
    <w:p>
      <w:r>
        <w:t xml:space="preserve">Im Sinne dieses Gesetzes sind:</w:t>
      </w:r>
    </w:p>
    <w:p>
      <w:pPr>
        <w:ind w:left="420"/>
      </w:pPr>
      <w:r>
        <w:t xml:space="preserve">1. Aufsichtsgremien: Aufsichts- und Verwaltungsräte sowie vergleichbare Aufsicht führende Organe ungeachtet ihrer Bezeichnung und Rechtsgrundlage, auch wenn deren Mitglieder durch Wahl bestimmt werden;</w:t>
      </w:r>
    </w:p>
    <w:p>
      <w:pPr>
        <w:ind w:left="420"/>
      </w:pPr>
      <w:r>
        <w:t xml:space="preserve">2. wesentliche Gremien:</w:t>
      </w:r>
    </w:p>
    <w:p>
      <w:pPr>
        <w:ind w:left="780"/>
      </w:pPr>
      <w:r>
        <w:t xml:space="preserve">a) Gremien, bei denen die Bundesregierung als Gesamtheit die Mitgliedschaft mindestens eines Mitglieds zu beschließen oder zur Kenntnis zu nehmen hat,</w:t>
      </w:r>
    </w:p>
    <w:p>
      <w:pPr>
        <w:ind w:left="780"/>
      </w:pPr>
      <w:r>
        <w:t xml:space="preserve">b) Gremien, die wegen ihrer besonderen tatsächlichen, wissenschaftlichen oder zukunftsrelevanten Bedeutung von den Institutionen des Bundes nach Nummer 3 als wesentliche Gremien bestimmt worden sind;</w:t>
      </w:r>
    </w:p>
    <w:p>
      <w:pPr>
        <w:ind w:left="420"/>
      </w:pPr>
      <w:r>
        <w:t xml:space="preserve">3. Institutionen des Bundes:</w:t>
      </w:r>
    </w:p>
    <w:p>
      <w:pPr>
        <w:ind w:left="780"/>
      </w:pPr>
      <w:r>
        <w:t xml:space="preserve">a) die Bundesregierung als Gesamtheit,</w:t>
      </w:r>
    </w:p>
    <w:p>
      <w:pPr>
        <w:ind w:left="780"/>
      </w:pPr>
      <w:r>
        <w:t xml:space="preserve">b) das Bundeskanzleramt,</w:t>
      </w:r>
    </w:p>
    <w:p>
      <w:pPr>
        <w:ind w:left="780"/>
      </w:pPr>
      <w:r>
        <w:t xml:space="preserve">c) die Bundesministerien sowie die oder der Beauftragte der Bundesregierung für Kultur und Medien einschließlich der Behörden des jeweiligen Geschäftsbereichs,</w:t>
      </w:r>
    </w:p>
    <w:p>
      <w:pPr>
        <w:ind w:left="780"/>
      </w:pPr>
      <w:r>
        <w:t xml:space="preserve">d) die weiteren Beauftragten der Bundesregierung und die Bundesbeauftragten sowie</w:t>
      </w:r>
    </w:p>
    <w:p>
      <w:pPr>
        <w:ind w:left="780"/>
      </w:pPr>
      <w:r>
        <w:t xml:space="preserve">e) die bundesunmittelbaren juristischen Personen des öffentlichen Rechts ohne Recht auf Selbstverwaltung;</w:t>
      </w:r>
    </w:p>
    <w:p>
      <w:pPr>
        <w:ind w:left="420"/>
      </w:pPr>
      <w:r>
        <w:t xml:space="preserve">4. vom Bund zu bestimmende Mitglieder: Mitglieder, die die Institutionen des Bundes einzeln oder gemeinsam in ein Aufsichtsgremium oder in ein wesentliches Gremium unmittelbar und rechtsverbindlich wählen, berufen, entsenden oder für ein solches Gremium vorschlagen können; ein Mitglied ist nicht vom Bund bestimmt, wenn ein Dritter gegenüber dem Bund ein Vorschlagsrecht für die Mitgliedschaft hat und von diesem Recht Gebrauch macht.</w:t>
      </w:r>
    </w:p>
    <w:p>
      <w:r>
        <w:rPr>
          <w:color w:val="555555"/>
          <w:sz w:val="17"/>
        </w:rPr>
        <w:t xml:space="preserve">Zitiervorschlag: § 3 BGremBG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https://recht.nulegal.eu/gesetze/BGremBG%202015/3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