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BGleiSV — Schlichtungsstelle</w:t>
      </w:r>
    </w:p>
    <w:p>
      <w:r>
        <w:rPr>
          <w:color w:val="555555"/>
          <w:sz w:val="18"/>
        </w:rPr>
        <w:t xml:space="preserve">Behindertengleichstellungsschlichtungsverordnung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Schlichtungsstelle wird bei der oder dem Beauftragten der Bundesregierung für die Belange von Menschen mit Behinderungen nach Abschnitt 5 des Behindertengleichstellungsgesetzes eingerichtet. Sie ist mit mindestens zwei schlichtenden Personen zu besetzen, die mit der außergerichtlichen Beilegung von Streitigkeiten nach § 16 Absatz 2 und 3 des Behindertengleichstellungsgesetzes betraut und für die unparteiische und faire Verfahrensführung verantwortlich sind.</w:t>
      </w:r>
    </w:p>
    <w:p>
      <w:r>
        <w:t xml:space="preserve">(2) Für die Schlichtungsstelle ist bei der oder dem Beauftragten der Bundesregierung für die Belange von Menschen mit Behinderungen nach Abschnitt 5 des Behindertengleichstellungsgesetzes eine Geschäftsstelle einzurichten.</w:t>
      </w:r>
    </w:p>
    <w:p>
      <w:r>
        <w:rPr>
          <w:color w:val="555555"/>
          <w:sz w:val="17"/>
        </w:rPr>
        <w:t xml:space="preserve">Zitiervorschlag: § 2 BGleiSV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https://recht.nulegal.eu/gesetze/BGleiSV/2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