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BGleiSV — Tätigkeitsbericht</w:t>
      </w:r>
    </w:p>
    <w:p>
      <w:r>
        <w:rPr>
          <w:color w:val="555555"/>
          <w:sz w:val="18"/>
        </w:rPr>
        <w:t xml:space="preserve">Behindertengleichstellungsschlichtungsverordnung</w:t>
      </w:r>
    </w:p>
    <w:p>
      <w:r>
        <w:rPr>
          <w:color w:val="555555"/>
          <w:sz w:val="18"/>
        </w:rPr>
        <w:t xml:space="preserve">Stand: 10.06.2019 (konsolidierte Textfassung, kein amtliches Inkrafttretensdatum)</w:t>
      </w:r>
    </w:p>
    <w:p>
      <w:r>
        <w:t xml:space="preserve">Die Schlichtungsstelle erstellt jährlich einen Tätigkeitsbericht. Sie leitet ihn dem Bundesministerium für Arbeit und Soziales und der oder dem Beauftragten der Bundesregierung für die Belange von Menschen mit Behinderungen nach Abschnitt 5 des Behindertengleichstellungsgesetzes bis zum 31. März des Folgejahres zu.</w:t>
      </w:r>
    </w:p>
    <w:p>
      <w:r>
        <w:rPr>
          <w:color w:val="555555"/>
          <w:sz w:val="17"/>
        </w:rPr>
        <w:t xml:space="preserve">Zitiervorschlag: § 14 BGleiSV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https://recht.nulegal.eu/gesetze/BGleiSV/14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