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BGleiSV — Verfahrensdauer</w:t>
      </w:r>
    </w:p>
    <w:p>
      <w:r>
        <w:rPr>
          <w:color w:val="555555"/>
          <w:sz w:val="18"/>
        </w:rPr>
        <w:t xml:space="preserve">Behindertengleichstellungsschlichtungsverordnung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Schlichtungsstelle wirkt auf eine zügige Durchführung des Verfahrens hin. Ein Schlichtungsvorschlag soll in der Regel innerhalb von drei Monaten nach Antragseingang unterbreitet werden.</w:t>
      </w:r>
    </w:p>
    <w:p>
      <w:r>
        <w:rPr>
          <w:color w:val="555555"/>
          <w:sz w:val="17"/>
        </w:rPr>
        <w:t xml:space="preserve">Zitiervorschlag: § 10 BGleiSV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https://recht.nulegal.eu/gesetze/BGleiSV/10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