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BGleiG 2015 — Arbeitsplatzausschreibung</w:t>
      </w:r>
    </w:p>
    <w:p>
      <w:r>
        <w:rPr>
          <w:color w:val="555555"/>
          <w:sz w:val="18"/>
        </w:rPr>
        <w:t xml:space="preserve">Bundesgleichstellungsgesetz</w:t>
      </w:r>
    </w:p>
    <w:p>
      <w:r>
        <w:rPr>
          <w:color w:val="555555"/>
          <w:sz w:val="18"/>
        </w:rPr>
        <w:t xml:space="preserve">Stand: 10.09.2021 (konsolidierte Textfassung, kein amtliches Inkrafttretensdatum)</w:t>
      </w:r>
    </w:p>
    <w:p>
      <w:r>
        <w:t xml:space="preserve">(1) Ausschreibungen von Arbeitsplätzen müssen geschlechtsneutral erfolgen. Es ist insbesondere unzulässig, Arbeitsplätze nur für Männer oder nur für Frauen auszuschreiben. Der Ausschreibungstext muss so formuliert sein, dass er alle Geschlechter in gleicher Weise anspricht. Sind Frauen in dem jeweiligen Bereich unterrepräsentiert, so sind sie verstärkt zur Bewerbung aufzufordern. Jede Ausschreibung, insbesondere die Ausschreibungen für die Besetzung von Führungspositionen ungeachtet der Hierarchieebene, hat den Hinweis zu enthalten, dass der ausgeschriebene Arbeitsplatz in Teilzeit besetzt werden kann. Der Hinweis darf entfallen, sofern einer Besetzung in Teilzeit zwingende dienstliche Belange entgegenstehen.</w:t>
      </w:r>
    </w:p>
    <w:p>
      <w:r>
        <w:t xml:space="preserve">(2) Wenn in einem Bereich Frauen unterrepräsentiert sind, soll ein freier Arbeitsplatz ausgeschrieben werden, um die Zahl der Bewerberinnen zu erhöhen. Der Arbeitsplatz soll öffentlich ausgeschrieben werden, wenn dieses Ziel weder mit einer hausinternen noch mit einer dienststellenübergreifenden Ausschreibung erreicht werden kann. Ausnahmen nach § 8 Absatz 1 Satz 3 des Bundesbeamtengesetzes bleiben unberührt.</w:t>
      </w:r>
    </w:p>
    <w:p>
      <w:r>
        <w:t xml:space="preserve">(3) Arbeitsplatzausschreibungen müssen die Anforderungen des zu besetzenden Arbeitsplatzes festlegen und im Hinblick auf mögliche künftige Funktionen der Bewerberinnen und Bewerber auch das vorausgesetzte Anforderungs- und Qualifikationsprofil der Laufbahn oder des Funktionsbereichs enthalten.</w:t>
      </w:r>
    </w:p>
    <w:p>
      <w:r>
        <w:rPr>
          <w:color w:val="555555"/>
          <w:sz w:val="17"/>
        </w:rPr>
        <w:t xml:space="preserve">Zitiervorschlag: § 6 BGleiG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https://recht.nulegal.eu/gesetze/BGleiG%202015/6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