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BGeoRG — Austausch unter Behörden</w:t>
      </w:r>
    </w:p>
    <w:p>
      <w:r>
        <w:rPr>
          <w:color w:val="555555"/>
          <w:sz w:val="18"/>
        </w:rPr>
        <w:t xml:space="preserve">Bundesgeoreferenzdatengesetz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geodatenhaltenden Stellen des Bundes gewähren sich untereinander Zugang zu den zur Erfüllung ihrer öffentlichen Aufgaben vorhandenen oder bereitgehaltenen geotopographischen Referenzdaten.</w:t>
      </w:r>
    </w:p>
    <w:p>
      <w:r>
        <w:t xml:space="preserve">(2) Die geotopographischen Referenzdaten haltenden Stellen des Bundes fordern untereinander keine Gegenleistung für die Zurverfügungstellung von geotopographischen Referenzdaten des Bundes, soweit deren Nutzung zur Wahrnehmung öffentlicher Aufgaben nicht wirtschaftlicher Art erfolgt.</w:t>
      </w:r>
    </w:p>
    <w:p>
      <w:r>
        <w:rPr>
          <w:color w:val="555555"/>
          <w:sz w:val="17"/>
        </w:rPr>
        <w:t xml:space="preserve">Zitiervorschlag: § 5 BGeoRG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https://recht.nulegal.eu/gesetze/BGeoRG/5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