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BGenTGKostV — Inkrafttreten</w:t>
      </w:r>
    </w:p>
    <w:p>
      <w:r>
        <w:rPr>
          <w:color w:val="555555"/>
          <w:sz w:val="18"/>
        </w:rPr>
        <w:t xml:space="preserve">Bundeskostenverordnung zum Gentechnikgesetz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7 BGenTGKostV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https://recht.nulegal.eu/gesetze/BGenTGKostV/7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