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BGenTGKostV — Übergangsregelung</w:t>
      </w:r>
    </w:p>
    <w:p>
      <w:r>
        <w:rPr>
          <w:color w:val="555555"/>
          <w:sz w:val="18"/>
        </w:rPr>
        <w:t xml:space="preserve">Bundeskostenverordnung zum Gentechnikgesetz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individuell zurechenbare öffentliche Leistungen, die vor Inkrafttreten dieser Verordnung vorgenommen worden sind, können Gebühren und Auslagen nach Maßgabe der §§ 1 bis 5 erhoben werden, soweit bei diesen Leistungen unter Hinweis auf den bevorstehenden Erlass dieser Verordnung eine Gebührenfestsetzung ausdrücklich vorbehalten worden ist.</w:t>
      </w:r>
    </w:p>
    <w:p>
      <w:r>
        <w:rPr>
          <w:color w:val="555555"/>
          <w:sz w:val="17"/>
        </w:rPr>
        <w:t xml:space="preserve">Zitiervorschlag: § 6 BGenTGKostV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https://recht.nulegal.eu/gesetze/BGenTGKostV/6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