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BGenTGKostV — Gebührenermäßigung und Gebührenbefreiung</w:t>
      </w:r>
    </w:p>
    <w:p>
      <w:r>
        <w:rPr>
          <w:color w:val="555555"/>
          <w:sz w:val="18"/>
        </w:rPr>
        <w:t xml:space="preserve">Bundeskostenverordnung zum Gentechnikgesetz</w:t>
      </w:r>
    </w:p>
    <w:p>
      <w:r>
        <w:rPr>
          <w:color w:val="555555"/>
          <w:sz w:val="18"/>
        </w:rPr>
        <w:t xml:space="preserve">Historische Fassung: Stand 10.06.2019 bis 01.10.2021. Dies ist nicht die aktuelle Fassung.</w:t>
      </w:r>
    </w:p>
    <w:p>
      <w:r>
        <w:t xml:space="preserve">(1) Auf Antrag des Gebührenschuldners kann eine Gebührenermäßigung oder eine Gebührenbefreiung gewährt werden, wenn an der Freisetzung oder an dem Inverkehrbringen ein besonderes öffentliches Interesse besteht oder der Antragsteller einen den Gebühren und dem Entwicklungsaufwand angemessenen wirtschaftlichen Nutzen nicht erwarten kann. Satz 1 gilt für Auslagen entsprechend.</w:t>
      </w:r>
    </w:p>
    <w:p>
      <w:r>
        <w:t xml:space="preserve">(2) Von der Zahlung von Gebühren und Auslagen sind im Fall einer Freisetzung, außer den in § 8 Absatz 1 und 2 des Bundesgebührengesetzes bezeichneten Rechtsträgern, die als gemeinnützig anerkannten Forschungseinrichtungen befreit.</w:t>
      </w:r>
    </w:p>
    <w:p>
      <w:r>
        <w:rPr>
          <w:color w:val="555555"/>
          <w:sz w:val="17"/>
        </w:rPr>
        <w:t xml:space="preserve">Zitiervorschlag: § 4 BGenTGKostV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https://recht.nulegal.eu/gesetze/BGenTGKostV/4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