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BGenTGKostV — Höhe der Gebühren</w:t>
      </w:r>
    </w:p>
    <w:p>
      <w:r>
        <w:rPr>
          <w:color w:val="555555"/>
          <w:sz w:val="18"/>
        </w:rPr>
        <w:t xml:space="preserve">Bundeskostenverordnung zum Gentechnikgesetz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 beträgt</w:t>
      </w:r>
    </w:p>
    <w:p>
      <w:r>
        <w:rPr>
          <w:rFonts w:ascii="Courier New" w:hAnsi="Courier New"/>
          <w:sz w:val="17"/>
        </w:rPr>
        <w:t xml:space="preserve">1.    für die Genehmigung eines Antrags nach § 14 Abs. 1 Satz 1 Nr. 1 und Abs. 3 des Gesetzes    2 500 bis 15 000 Euro,</w:t>
      </w:r>
    </w:p>
    <w:p>
      <w:r>
        <w:rPr>
          <w:rFonts w:ascii="Courier New" w:hAnsi="Courier New"/>
          <w:sz w:val="17"/>
        </w:rPr>
        <w:t xml:space="preserve">2.    für die Genehmigung eines Antrags nach § 14 Abs. 1 Satz 1 Nr. 2 oder 3 des Gesetzes    5 000 bis 30 000 Euro.</w:t>
      </w:r>
    </w:p>
    <w:p>
      <w:r>
        <w:t xml:space="preserve">(2) Erfordert eine individuell zurechenbare öffentliche Leistung im Einzelfall einen außergewöhnlich hohen Aufwand, so kann die Gebühr für die Genehmigung eines Antrags nach § 14 Abs. 1 Satz 1 und Abs. 3 des Gesetzes bis auf 75 000 Euro, die Gebühr für die Genehmigung eines Antrags nach § 14 Abs. 1 Satz 1 Nr. 2 oder 3 des Gesetzes bis auf 150 000 Euro erhöht werden. Der Gebührenschuldner ist zu hören, wenn mit einer solchen Erhöhung zu rechnen ist.</w:t>
      </w:r>
    </w:p>
    <w:p>
      <w:r>
        <w:t xml:space="preserve">(3) Erfordert eine individuell zurechenbare öffentliche Leistung im Einzelfall einen außergewöhnlich niedrigen Aufwand, so kann die Gebühr bis auf 50 Euro reduziert werden.</w:t>
      </w:r>
    </w:p>
    <w:p>
      <w:r>
        <w:rPr>
          <w:color w:val="555555"/>
          <w:sz w:val="17"/>
        </w:rPr>
        <w:t xml:space="preserve">Zitiervorschlag: § 2 BGenTGKostV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https://recht.nulegal.eu/gesetze/BGenTGKostV/2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