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BGenTGKostV — Gebühren und Auslagen</w:t>
      </w:r>
    </w:p>
    <w:p>
      <w:r>
        <w:rPr>
          <w:color w:val="555555"/>
          <w:sz w:val="18"/>
        </w:rPr>
        <w:t xml:space="preserve">Bundeskostenverordnung zum Gentechnikgesetz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Das Bundesamt für Verbraucherschutz und Lebensmittelsicherheit erhebt für individuell zurechenbare öffentliche Leistungen nach dem Gentechnikgesetz Gebühren und Auslagen nach dieser Verordnung.</w:t>
      </w:r>
    </w:p>
    <w:p>
      <w:r>
        <w:t xml:space="preserve">(2) Als Auslagen werden vom Gebührenschuldner die in § 10 Absatz 1 Nummer 1 bis 4 und 6 bis 8 des Verwaltungskostengesetzes in der bis zum 14. August 2013 geltenden Fassung bezeichneten Auslagen erhoben.</w:t>
      </w:r>
    </w:p>
    <w:p>
      <w:r>
        <w:rPr>
          <w:color w:val="555555"/>
          <w:sz w:val="17"/>
        </w:rPr>
        <w:t xml:space="preserve">Zitiervorschlag: § 1 BGenTGKostV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https://recht.nulegal.eu/gesetze/BGenTGKostV/1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